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BF" w:rsidRDefault="00000538" w:rsidP="00E47A11">
      <w:pPr>
        <w:jc w:val="center"/>
        <w:rPr>
          <w:b/>
          <w:sz w:val="28"/>
        </w:rPr>
      </w:pPr>
      <w:r>
        <w:rPr>
          <w:b/>
          <w:sz w:val="28"/>
        </w:rPr>
        <w:t>The Long-Term</w:t>
      </w:r>
      <w:r w:rsidR="00694908">
        <w:rPr>
          <w:b/>
          <w:sz w:val="28"/>
        </w:rPr>
        <w:t xml:space="preserve"> Consequences</w:t>
      </w:r>
      <w:r>
        <w:rPr>
          <w:b/>
          <w:sz w:val="28"/>
        </w:rPr>
        <w:t xml:space="preserve"> of</w:t>
      </w:r>
      <w:r w:rsidR="00694908">
        <w:rPr>
          <w:b/>
          <w:sz w:val="28"/>
        </w:rPr>
        <w:t xml:space="preserve"> Conflict</w:t>
      </w:r>
      <w:r w:rsidR="009C62EC">
        <w:rPr>
          <w:b/>
          <w:sz w:val="28"/>
        </w:rPr>
        <w:t xml:space="preserve"> and Displacement</w:t>
      </w:r>
      <w:r w:rsidR="000871BF">
        <w:rPr>
          <w:b/>
          <w:sz w:val="28"/>
        </w:rPr>
        <w:t>:</w:t>
      </w:r>
    </w:p>
    <w:p w:rsidR="00000538" w:rsidRDefault="00020678" w:rsidP="00E47A11">
      <w:pPr>
        <w:jc w:val="center"/>
        <w:rPr>
          <w:b/>
          <w:sz w:val="28"/>
        </w:rPr>
      </w:pPr>
      <w:r>
        <w:rPr>
          <w:b/>
          <w:sz w:val="28"/>
        </w:rPr>
        <w:t xml:space="preserve">Measuring </w:t>
      </w:r>
      <w:r w:rsidR="000871BF">
        <w:rPr>
          <w:b/>
          <w:sz w:val="28"/>
        </w:rPr>
        <w:t>D</w:t>
      </w:r>
      <w:r w:rsidR="000871BF" w:rsidRPr="000871BF">
        <w:rPr>
          <w:b/>
          <w:sz w:val="28"/>
        </w:rPr>
        <w:t xml:space="preserve">ifferences in </w:t>
      </w:r>
      <w:r w:rsidR="000871BF">
        <w:rPr>
          <w:b/>
          <w:sz w:val="28"/>
        </w:rPr>
        <w:t xml:space="preserve">Education and Nutrition </w:t>
      </w:r>
      <w:r w:rsidR="000871BF" w:rsidRPr="000871BF">
        <w:rPr>
          <w:b/>
          <w:sz w:val="28"/>
        </w:rPr>
        <w:t>in Afghanistan</w:t>
      </w:r>
    </w:p>
    <w:p w:rsidR="000871BF" w:rsidRPr="000871BF" w:rsidRDefault="000871BF" w:rsidP="00E47A11">
      <w:pPr>
        <w:jc w:val="center"/>
      </w:pPr>
    </w:p>
    <w:p w:rsidR="006D2795" w:rsidRDefault="006D2795" w:rsidP="00E47A11">
      <w:pPr>
        <w:jc w:val="center"/>
        <w:rPr>
          <w:lang w:val="en-GB"/>
        </w:rPr>
      </w:pPr>
      <w:r w:rsidRPr="00BD2A7E">
        <w:rPr>
          <w:lang w:val="en-GB"/>
        </w:rPr>
        <w:t>Craig Loschmann</w:t>
      </w:r>
      <w:r w:rsidRPr="007D7D1E">
        <w:rPr>
          <w:rStyle w:val="FootnoteReference"/>
          <w:vertAlign w:val="baseline"/>
          <w:lang w:val="en-GB"/>
        </w:rPr>
        <w:footnoteReference w:id="1"/>
      </w:r>
    </w:p>
    <w:p w:rsidR="00B60D23" w:rsidRDefault="00B60D23" w:rsidP="00E47A11">
      <w:pPr>
        <w:jc w:val="center"/>
      </w:pPr>
      <w:r>
        <w:t xml:space="preserve">Working Version: </w:t>
      </w:r>
      <w:r w:rsidR="000871BF">
        <w:t xml:space="preserve">October </w:t>
      </w:r>
      <w:r>
        <w:t>2014</w:t>
      </w:r>
    </w:p>
    <w:p w:rsidR="000871BF" w:rsidRDefault="000871BF" w:rsidP="00E47A11">
      <w:pPr>
        <w:jc w:val="center"/>
      </w:pPr>
    </w:p>
    <w:p w:rsidR="00B60D23" w:rsidRDefault="00B60D23" w:rsidP="00E47A11">
      <w:pPr>
        <w:pBdr>
          <w:top w:val="single" w:sz="4" w:space="1" w:color="auto"/>
        </w:pBdr>
        <w:jc w:val="both"/>
        <w:rPr>
          <w:b/>
        </w:rPr>
      </w:pPr>
      <w:r w:rsidRPr="00B60D23">
        <w:rPr>
          <w:b/>
        </w:rPr>
        <w:t>Abstract</w:t>
      </w:r>
    </w:p>
    <w:p w:rsidR="001F5171" w:rsidRDefault="001F5171" w:rsidP="00E47A11">
      <w:pPr>
        <w:pBdr>
          <w:top w:val="single" w:sz="4" w:space="1" w:color="auto"/>
        </w:pBdr>
        <w:jc w:val="both"/>
        <w:rPr>
          <w:b/>
        </w:rPr>
      </w:pPr>
    </w:p>
    <w:p w:rsidR="00867169" w:rsidRDefault="00EF0055" w:rsidP="00E47A11">
      <w:pPr>
        <w:pStyle w:val="ListParagraph"/>
        <w:pBdr>
          <w:bottom w:val="single" w:sz="4" w:space="1" w:color="auto"/>
        </w:pBdr>
        <w:ind w:left="0"/>
        <w:jc w:val="both"/>
      </w:pPr>
      <w:r>
        <w:t xml:space="preserve">This study investigates the long-term consequences of conflict and displacement in Afghanistan by comparing differences </w:t>
      </w:r>
      <w:r w:rsidR="0099722C">
        <w:t xml:space="preserve">between internally displaced households and non-displaced households </w:t>
      </w:r>
      <w:r w:rsidR="00102138">
        <w:t xml:space="preserve">in outcomes </w:t>
      </w:r>
      <w:r w:rsidR="00220976">
        <w:t>related to human capital formation</w:t>
      </w:r>
      <w:r w:rsidR="0099722C">
        <w:t>, namely education and nutrition</w:t>
      </w:r>
      <w:r>
        <w:t xml:space="preserve">. </w:t>
      </w:r>
      <w:r w:rsidR="00220976">
        <w:t xml:space="preserve">The dataset originates from a </w:t>
      </w:r>
      <w:r w:rsidR="0099722C">
        <w:t>unique</w:t>
      </w:r>
      <w:r w:rsidR="00220976">
        <w:t xml:space="preserve"> household survey </w:t>
      </w:r>
      <w:r w:rsidR="00A54927">
        <w:t>allowing</w:t>
      </w:r>
      <w:r w:rsidR="0099722C">
        <w:t xml:space="preserve"> for exogenous</w:t>
      </w:r>
      <w:r w:rsidR="00220976">
        <w:t xml:space="preserve"> </w:t>
      </w:r>
      <w:r w:rsidR="0099722C">
        <w:t xml:space="preserve">identification of </w:t>
      </w:r>
      <w:r w:rsidR="00220976">
        <w:t>households that were involuntarily displaced due to conflict, insecurity, persecution or natural disaster. The</w:t>
      </w:r>
      <w:r>
        <w:t xml:space="preserve"> analysis finds </w:t>
      </w:r>
      <w:r w:rsidR="00220976">
        <w:t xml:space="preserve">strong </w:t>
      </w:r>
      <w:r>
        <w:t xml:space="preserve">evidence that displacement leads to greater food insecurity and lower dietary diversity. </w:t>
      </w:r>
      <w:r w:rsidR="00A54927">
        <w:t>T</w:t>
      </w:r>
      <w:r>
        <w:t xml:space="preserve">here is indication that displacement has a negative effect </w:t>
      </w:r>
      <w:r w:rsidR="00A54927">
        <w:t xml:space="preserve">on school attendance, yet these estimates </w:t>
      </w:r>
      <w:r>
        <w:t>are not robust to the inclusion of location fixed effects.</w:t>
      </w:r>
    </w:p>
    <w:p w:rsidR="001F5171" w:rsidRDefault="001F5171" w:rsidP="00E47A11">
      <w:pPr>
        <w:pStyle w:val="ListParagraph"/>
        <w:pBdr>
          <w:bottom w:val="single" w:sz="4" w:space="1" w:color="auto"/>
        </w:pBdr>
        <w:ind w:left="0"/>
        <w:jc w:val="both"/>
      </w:pPr>
    </w:p>
    <w:p w:rsidR="001F5171" w:rsidRDefault="001F5171" w:rsidP="00E47A11">
      <w:pPr>
        <w:jc w:val="both"/>
        <w:rPr>
          <w:b/>
        </w:rPr>
      </w:pPr>
    </w:p>
    <w:p w:rsidR="00B60D23" w:rsidRDefault="00B60D23" w:rsidP="00E47A11">
      <w:pPr>
        <w:jc w:val="both"/>
      </w:pPr>
      <w:r w:rsidRPr="007D7D1E">
        <w:rPr>
          <w:b/>
        </w:rPr>
        <w:t>Keywords</w:t>
      </w:r>
      <w:r>
        <w:t>:</w:t>
      </w:r>
      <w:r w:rsidR="006F7C7A">
        <w:t xml:space="preserve"> Conflict; Displacement; Forced Migration; Education; Nutrition; Afghanistan</w:t>
      </w:r>
    </w:p>
    <w:p w:rsidR="00070756" w:rsidRDefault="00070756" w:rsidP="009F6424">
      <w:pPr>
        <w:spacing w:line="480" w:lineRule="auto"/>
        <w:jc w:val="both"/>
        <w:sectPr w:rsidR="00070756">
          <w:footerReference w:type="default" r:id="rId9"/>
          <w:footnotePr>
            <w:numFmt w:val="chicago"/>
          </w:footnotePr>
          <w:pgSz w:w="12240" w:h="15840"/>
          <w:pgMar w:top="1440" w:right="1440" w:bottom="1440" w:left="1440" w:header="720" w:footer="720" w:gutter="0"/>
          <w:cols w:space="720"/>
          <w:docGrid w:linePitch="360"/>
        </w:sectPr>
      </w:pPr>
    </w:p>
    <w:p w:rsidR="006D2795" w:rsidRPr="006F5ECD" w:rsidRDefault="006D2795" w:rsidP="009F6424">
      <w:pPr>
        <w:pStyle w:val="ListParagraph"/>
        <w:numPr>
          <w:ilvl w:val="0"/>
          <w:numId w:val="2"/>
        </w:numPr>
        <w:spacing w:after="200" w:line="480" w:lineRule="auto"/>
        <w:ind w:left="360"/>
        <w:contextualSpacing w:val="0"/>
        <w:jc w:val="both"/>
        <w:rPr>
          <w:b/>
          <w:sz w:val="28"/>
        </w:rPr>
      </w:pPr>
      <w:r w:rsidRPr="006F5ECD">
        <w:rPr>
          <w:b/>
          <w:sz w:val="28"/>
        </w:rPr>
        <w:lastRenderedPageBreak/>
        <w:t>Introduction</w:t>
      </w:r>
    </w:p>
    <w:p w:rsidR="00FE2DCF" w:rsidRDefault="00BB5155" w:rsidP="009F6424">
      <w:pPr>
        <w:pStyle w:val="ListParagraph"/>
        <w:spacing w:line="480" w:lineRule="auto"/>
        <w:ind w:left="0"/>
        <w:jc w:val="both"/>
      </w:pPr>
      <w:r>
        <w:t>In 2013, t</w:t>
      </w:r>
      <w:r w:rsidR="00FE2DCF">
        <w:t xml:space="preserve">he number of </w:t>
      </w:r>
      <w:r w:rsidR="00F50D8F">
        <w:t>people</w:t>
      </w:r>
      <w:r w:rsidR="00FE2DCF">
        <w:t xml:space="preserve"> </w:t>
      </w:r>
      <w:r w:rsidR="00D9433D">
        <w:t xml:space="preserve">forcible displaced worldwide </w:t>
      </w:r>
      <w:r w:rsidR="00DE7676">
        <w:t xml:space="preserve">reached </w:t>
      </w:r>
      <w:r>
        <w:t>a record high of 51.2 million individuals</w:t>
      </w:r>
      <w:r w:rsidR="00D9433D">
        <w:t xml:space="preserve"> </w:t>
      </w:r>
      <w:r w:rsidR="003555E1">
        <w:t>(UNHCR, 2014a)</w:t>
      </w:r>
      <w:r w:rsidR="00DE7676">
        <w:t xml:space="preserve">. </w:t>
      </w:r>
      <w:r>
        <w:t xml:space="preserve">While </w:t>
      </w:r>
      <w:r w:rsidR="00674D86">
        <w:t xml:space="preserve">such </w:t>
      </w:r>
      <w:r w:rsidR="00D9433D">
        <w:t xml:space="preserve">a statistic </w:t>
      </w:r>
      <w:r w:rsidR="00674D86">
        <w:t xml:space="preserve">usually brings to mind </w:t>
      </w:r>
      <w:r w:rsidR="00DC4FA8">
        <w:t>the plight of</w:t>
      </w:r>
      <w:r w:rsidR="00074491">
        <w:t xml:space="preserve"> international</w:t>
      </w:r>
      <w:r w:rsidR="00DC4FA8">
        <w:t xml:space="preserve"> </w:t>
      </w:r>
      <w:r w:rsidR="00F1097F">
        <w:t>refugees</w:t>
      </w:r>
      <w:r w:rsidR="00D9433D">
        <w:t xml:space="preserve"> spread across the globe, nearly </w:t>
      </w:r>
      <w:r w:rsidR="001E639A">
        <w:t>two-thirds</w:t>
      </w:r>
      <w:r w:rsidR="00D9433D">
        <w:t>, or 33.3 million individuals,</w:t>
      </w:r>
      <w:r w:rsidR="00F50D8F">
        <w:t xml:space="preserve"> are displaced within their own </w:t>
      </w:r>
      <w:r w:rsidR="00D9433D">
        <w:t>countries</w:t>
      </w:r>
      <w:r w:rsidR="00DE7676">
        <w:t xml:space="preserve"> </w:t>
      </w:r>
      <w:r w:rsidR="00211467">
        <w:t>(IDMC, 2014</w:t>
      </w:r>
      <w:r w:rsidR="00D9433D">
        <w:t xml:space="preserve">). Moreover, </w:t>
      </w:r>
      <w:r w:rsidR="003A639E">
        <w:t xml:space="preserve">there is the general recognition that </w:t>
      </w:r>
      <w:r w:rsidR="00D9433D">
        <w:t xml:space="preserve">in most </w:t>
      </w:r>
      <w:r w:rsidR="00397A34">
        <w:t xml:space="preserve">cases </w:t>
      </w:r>
      <w:r w:rsidR="001527DE">
        <w:t>displacement</w:t>
      </w:r>
      <w:r w:rsidR="003A639E">
        <w:t>,</w:t>
      </w:r>
      <w:r w:rsidR="001527DE">
        <w:t xml:space="preserve"> </w:t>
      </w:r>
      <w:r w:rsidR="003A639E">
        <w:t xml:space="preserve">both externally and internally, is </w:t>
      </w:r>
      <w:r w:rsidR="00E670AA">
        <w:t>protracted over many years</w:t>
      </w:r>
      <w:r w:rsidR="006500A6">
        <w:t>,</w:t>
      </w:r>
      <w:r w:rsidR="00E670AA">
        <w:t xml:space="preserve"> </w:t>
      </w:r>
      <w:r w:rsidR="00D9433D">
        <w:t>if not decades</w:t>
      </w:r>
      <w:r w:rsidR="006500A6">
        <w:t>,</w:t>
      </w:r>
      <w:r w:rsidR="00D9433D">
        <w:t xml:space="preserve"> </w:t>
      </w:r>
      <w:r w:rsidR="00397A34">
        <w:t xml:space="preserve">with little chance for </w:t>
      </w:r>
      <w:r w:rsidR="00E670AA">
        <w:t xml:space="preserve">immediate </w:t>
      </w:r>
      <w:r w:rsidR="00397A34">
        <w:t>resolution</w:t>
      </w:r>
      <w:r w:rsidR="003A639E">
        <w:t xml:space="preserve"> (</w:t>
      </w:r>
      <w:proofErr w:type="spellStart"/>
      <w:r w:rsidR="003A639E">
        <w:t>Loescher</w:t>
      </w:r>
      <w:proofErr w:type="spellEnd"/>
      <w:r w:rsidR="003A639E">
        <w:t xml:space="preserve"> </w:t>
      </w:r>
      <w:r w:rsidR="00997CBC">
        <w:t>&amp;</w:t>
      </w:r>
      <w:r w:rsidR="003A639E">
        <w:t xml:space="preserve"> Milner, 2009)</w:t>
      </w:r>
      <w:r w:rsidR="00397A34">
        <w:t xml:space="preserve">. </w:t>
      </w:r>
      <w:r w:rsidR="003A639E">
        <w:t>Taking this into consideration</w:t>
      </w:r>
      <w:r w:rsidR="00397A34">
        <w:t xml:space="preserve">, </w:t>
      </w:r>
      <w:r w:rsidR="00E670AA">
        <w:t xml:space="preserve">it is not the </w:t>
      </w:r>
      <w:r w:rsidR="00397A34">
        <w:t xml:space="preserve">short-term </w:t>
      </w:r>
      <w:r w:rsidR="001527DE">
        <w:t xml:space="preserve">effects </w:t>
      </w:r>
      <w:r w:rsidR="00E670AA">
        <w:t xml:space="preserve">that should be </w:t>
      </w:r>
      <w:r w:rsidR="00674D86">
        <w:t xml:space="preserve">of </w:t>
      </w:r>
      <w:r w:rsidR="006D1466">
        <w:t xml:space="preserve">sole </w:t>
      </w:r>
      <w:r w:rsidR="00922D91">
        <w:t>concern</w:t>
      </w:r>
      <w:r w:rsidR="00E670AA">
        <w:t xml:space="preserve">, but also the </w:t>
      </w:r>
      <w:r w:rsidR="00885525">
        <w:t>long-term consequences</w:t>
      </w:r>
      <w:r w:rsidR="00E670AA">
        <w:t xml:space="preserve"> which may </w:t>
      </w:r>
      <w:r w:rsidR="00674D86">
        <w:t>be</w:t>
      </w:r>
      <w:r w:rsidR="00EF3475">
        <w:t xml:space="preserve"> especially</w:t>
      </w:r>
      <w:r w:rsidR="00674D86">
        <w:t xml:space="preserve"> detrimental to</w:t>
      </w:r>
      <w:r w:rsidR="00922D91">
        <w:t xml:space="preserve"> </w:t>
      </w:r>
      <w:r w:rsidR="00885525">
        <w:t xml:space="preserve">the </w:t>
      </w:r>
      <w:r w:rsidR="00EF3475">
        <w:t xml:space="preserve">already </w:t>
      </w:r>
      <w:r w:rsidR="003B75C4">
        <w:t>fragile development potential</w:t>
      </w:r>
      <w:r w:rsidR="00B26C64">
        <w:t xml:space="preserve"> of </w:t>
      </w:r>
      <w:r w:rsidR="00E670AA">
        <w:t>those countries most affected.</w:t>
      </w:r>
    </w:p>
    <w:p w:rsidR="002A34E0" w:rsidRDefault="002A34E0" w:rsidP="00FA6E9A">
      <w:pPr>
        <w:pStyle w:val="ListParagraph"/>
        <w:spacing w:line="480" w:lineRule="auto"/>
        <w:ind w:left="0"/>
        <w:jc w:val="both"/>
      </w:pPr>
    </w:p>
    <w:p w:rsidR="002A34E0" w:rsidRDefault="002A34E0" w:rsidP="00AA2A36">
      <w:pPr>
        <w:spacing w:line="480" w:lineRule="auto"/>
        <w:jc w:val="both"/>
      </w:pPr>
      <w:r>
        <w:t xml:space="preserve">Over the years an extensive </w:t>
      </w:r>
      <w:r w:rsidR="00E603C9">
        <w:t xml:space="preserve">body of </w:t>
      </w:r>
      <w:r>
        <w:t>literature has</w:t>
      </w:r>
      <w:r w:rsidR="00FA6E9A">
        <w:t xml:space="preserve"> </w:t>
      </w:r>
      <w:r w:rsidR="00E603C9">
        <w:t xml:space="preserve">explored </w:t>
      </w:r>
      <w:r>
        <w:t xml:space="preserve">the </w:t>
      </w:r>
      <w:r w:rsidR="00FA6E9A">
        <w:t xml:space="preserve">long-term </w:t>
      </w:r>
      <w:r>
        <w:t>consequences of conflict</w:t>
      </w:r>
      <w:r w:rsidR="00AA2A36">
        <w:t>,</w:t>
      </w:r>
      <w:r>
        <w:t xml:space="preserve"> </w:t>
      </w:r>
      <w:r w:rsidR="00AD3C70">
        <w:t>many</w:t>
      </w:r>
      <w:r w:rsidR="00AA2A36">
        <w:t xml:space="preserve"> </w:t>
      </w:r>
      <w:r>
        <w:t xml:space="preserve">looking at </w:t>
      </w:r>
      <w:r w:rsidR="00AD3C70">
        <w:t xml:space="preserve">the destruction of </w:t>
      </w:r>
      <w:r w:rsidR="00E603C9">
        <w:t xml:space="preserve">human capital </w:t>
      </w:r>
      <w:r w:rsidR="00AD3C70">
        <w:t xml:space="preserve">during </w:t>
      </w:r>
      <w:r w:rsidR="00D63D18">
        <w:t>childhood given its potential to severely reduce welfare</w:t>
      </w:r>
      <w:r w:rsidR="00A442C7">
        <w:t xml:space="preserve"> throughout one’s life</w:t>
      </w:r>
      <w:r w:rsidR="00D63D18">
        <w:t xml:space="preserve"> </w:t>
      </w:r>
      <w:r>
        <w:t>(</w:t>
      </w:r>
      <w:proofErr w:type="spellStart"/>
      <w:r>
        <w:t>Akresh</w:t>
      </w:r>
      <w:proofErr w:type="spellEnd"/>
      <w:r>
        <w:t xml:space="preserve"> &amp; de </w:t>
      </w:r>
      <w:proofErr w:type="spellStart"/>
      <w:r>
        <w:t>Walque</w:t>
      </w:r>
      <w:proofErr w:type="spellEnd"/>
      <w:r>
        <w:t xml:space="preserve">, 2008; </w:t>
      </w:r>
      <w:proofErr w:type="spellStart"/>
      <w:r>
        <w:t>Bundervoet</w:t>
      </w:r>
      <w:proofErr w:type="spellEnd"/>
      <w:r>
        <w:t xml:space="preserve"> et al., 2008; </w:t>
      </w:r>
      <w:proofErr w:type="spellStart"/>
      <w:r w:rsidRPr="004A0839">
        <w:t>Blattman</w:t>
      </w:r>
      <w:proofErr w:type="spellEnd"/>
      <w:r w:rsidRPr="004A0839">
        <w:t xml:space="preserve"> </w:t>
      </w:r>
      <w:r>
        <w:t xml:space="preserve">&amp; </w:t>
      </w:r>
      <w:r w:rsidRPr="004A0839">
        <w:t>Annan, 2010</w:t>
      </w:r>
      <w:r>
        <w:t xml:space="preserve">; </w:t>
      </w:r>
      <w:proofErr w:type="spellStart"/>
      <w:r>
        <w:t>Shemyakina</w:t>
      </w:r>
      <w:proofErr w:type="spellEnd"/>
      <w:r>
        <w:t xml:space="preserve">, 2011; </w:t>
      </w:r>
      <w:proofErr w:type="spellStart"/>
      <w:r w:rsidRPr="004A0839">
        <w:t>Akresh</w:t>
      </w:r>
      <w:proofErr w:type="spellEnd"/>
      <w:r w:rsidRPr="004A0839">
        <w:t xml:space="preserve"> et al., 2011</w:t>
      </w:r>
      <w:r w:rsidR="00D63D18">
        <w:t>; Leon, 2012</w:t>
      </w:r>
      <w:r w:rsidR="007738E8">
        <w:t xml:space="preserve">; </w:t>
      </w:r>
      <w:proofErr w:type="spellStart"/>
      <w:r w:rsidR="007738E8">
        <w:t>Justino</w:t>
      </w:r>
      <w:proofErr w:type="spellEnd"/>
      <w:r w:rsidR="007738E8">
        <w:t xml:space="preserve"> et al., 2013</w:t>
      </w:r>
      <w:r>
        <w:t xml:space="preserve">). </w:t>
      </w:r>
      <w:r w:rsidR="00AA2A36">
        <w:t>W</w:t>
      </w:r>
      <w:r w:rsidR="00E603C9">
        <w:t>i</w:t>
      </w:r>
      <w:r w:rsidR="00AA2A36">
        <w:t>t</w:t>
      </w:r>
      <w:r w:rsidR="00E603C9">
        <w:t xml:space="preserve">hin this </w:t>
      </w:r>
      <w:r w:rsidR="00D63D18">
        <w:t>field of study</w:t>
      </w:r>
      <w:r w:rsidR="00E603C9">
        <w:t xml:space="preserve">, </w:t>
      </w:r>
      <w:r>
        <w:t xml:space="preserve">displacement </w:t>
      </w:r>
      <w:r w:rsidR="00AA2A36">
        <w:t xml:space="preserve">is </w:t>
      </w:r>
      <w:r w:rsidR="00FA6E9A">
        <w:t>acknowledged</w:t>
      </w:r>
      <w:r>
        <w:t xml:space="preserve"> as a </w:t>
      </w:r>
      <w:r w:rsidR="00AA2A36">
        <w:t xml:space="preserve">clear </w:t>
      </w:r>
      <w:r>
        <w:t xml:space="preserve">channel through which </w:t>
      </w:r>
      <w:r w:rsidR="00E603C9">
        <w:t xml:space="preserve">war </w:t>
      </w:r>
      <w:r w:rsidR="00D63D18">
        <w:t xml:space="preserve">may have an impact on human capital formation </w:t>
      </w:r>
      <w:r>
        <w:t>(</w:t>
      </w:r>
      <w:proofErr w:type="spellStart"/>
      <w:r>
        <w:t>Justino</w:t>
      </w:r>
      <w:proofErr w:type="spellEnd"/>
      <w:r w:rsidR="00AA2A36">
        <w:t>,</w:t>
      </w:r>
      <w:r>
        <w:t xml:space="preserve"> </w:t>
      </w:r>
      <w:r w:rsidR="00AA2A36">
        <w:t>2011</w:t>
      </w:r>
      <w:r>
        <w:t>)</w:t>
      </w:r>
      <w:r w:rsidR="00AA2A36">
        <w:t xml:space="preserve">. Still, </w:t>
      </w:r>
      <w:r>
        <w:t xml:space="preserve">only recently has there been any </w:t>
      </w:r>
      <w:r w:rsidR="0099722C">
        <w:t xml:space="preserve">scholarly </w:t>
      </w:r>
      <w:r>
        <w:t xml:space="preserve">work on the </w:t>
      </w:r>
      <w:r w:rsidR="00FA6E9A">
        <w:t>effects</w:t>
      </w:r>
      <w:r>
        <w:t xml:space="preserve"> of displacement </w:t>
      </w:r>
      <w:r w:rsidR="00AA2A36">
        <w:t>in particular</w:t>
      </w:r>
      <w:r w:rsidR="0099722C">
        <w:t>,</w:t>
      </w:r>
      <w:r w:rsidR="00AA2A36">
        <w:t xml:space="preserve"> </w:t>
      </w:r>
      <w:r w:rsidR="00B133FF">
        <w:t xml:space="preserve">in contrast </w:t>
      </w:r>
      <w:r w:rsidR="00AA2A36">
        <w:t xml:space="preserve">to war in general </w:t>
      </w:r>
      <w:r w:rsidR="00735AD9">
        <w:t>(</w:t>
      </w:r>
      <w:proofErr w:type="spellStart"/>
      <w:r w:rsidR="00735AD9">
        <w:t>Fiala</w:t>
      </w:r>
      <w:proofErr w:type="spellEnd"/>
      <w:r w:rsidR="00735AD9">
        <w:t xml:space="preserve">, 2009; </w:t>
      </w:r>
      <w:proofErr w:type="spellStart"/>
      <w:r w:rsidR="00735AD9">
        <w:t>Fiala</w:t>
      </w:r>
      <w:proofErr w:type="spellEnd"/>
      <w:r w:rsidR="00735AD9">
        <w:t>, 2012</w:t>
      </w:r>
      <w:r>
        <w:t xml:space="preserve">; </w:t>
      </w:r>
      <w:r w:rsidRPr="004A0839">
        <w:t>Eder, 2013</w:t>
      </w:r>
      <w:r w:rsidR="00AA2A36">
        <w:t xml:space="preserve">; </w:t>
      </w:r>
      <w:proofErr w:type="spellStart"/>
      <w:r>
        <w:t>Oyelere</w:t>
      </w:r>
      <w:proofErr w:type="spellEnd"/>
      <w:r>
        <w:t xml:space="preserve"> &amp; Wharton, 2013</w:t>
      </w:r>
      <w:r w:rsidR="00AA2A36">
        <w:t xml:space="preserve">; </w:t>
      </w:r>
      <w:proofErr w:type="spellStart"/>
      <w:r w:rsidR="00AA2A36">
        <w:t>Verwimp</w:t>
      </w:r>
      <w:proofErr w:type="spellEnd"/>
      <w:r w:rsidR="00AA2A36">
        <w:t xml:space="preserve"> &amp; Van </w:t>
      </w:r>
      <w:proofErr w:type="spellStart"/>
      <w:r w:rsidR="00AA2A36">
        <w:t>Bavel</w:t>
      </w:r>
      <w:proofErr w:type="spellEnd"/>
      <w:r w:rsidR="00AA2A36">
        <w:t>, 2013</w:t>
      </w:r>
      <w:r>
        <w:t>).</w:t>
      </w:r>
      <w:r w:rsidR="00FA6E9A">
        <w:t xml:space="preserve"> </w:t>
      </w:r>
      <w:r w:rsidRPr="004A0839">
        <w:t xml:space="preserve">It is within this </w:t>
      </w:r>
      <w:r>
        <w:t>still relatively</w:t>
      </w:r>
      <w:r w:rsidRPr="004A0839">
        <w:t xml:space="preserve"> unexplored space that this study </w:t>
      </w:r>
      <w:r w:rsidR="00FA6E9A">
        <w:t xml:space="preserve">aims to </w:t>
      </w:r>
      <w:r w:rsidRPr="004A0839">
        <w:t>make a contribution</w:t>
      </w:r>
      <w:r w:rsidR="00D63D18">
        <w:t xml:space="preserve">, using a unique dataset for </w:t>
      </w:r>
      <w:r w:rsidR="004E6E12">
        <w:t>the</w:t>
      </w:r>
      <w:r w:rsidR="00D63D18">
        <w:t xml:space="preserve"> understudied (post-) conflict context</w:t>
      </w:r>
      <w:r w:rsidR="004E6E12">
        <w:t xml:space="preserve"> of Afghanistan</w:t>
      </w:r>
      <w:r w:rsidR="00B133FF">
        <w:t>.</w:t>
      </w:r>
    </w:p>
    <w:p w:rsidR="00AD3C70" w:rsidRDefault="00AD3C70" w:rsidP="009F6424">
      <w:pPr>
        <w:spacing w:line="480" w:lineRule="auto"/>
        <w:jc w:val="both"/>
      </w:pPr>
    </w:p>
    <w:p w:rsidR="00B133FF" w:rsidRDefault="007745CB" w:rsidP="009F6424">
      <w:pPr>
        <w:spacing w:line="480" w:lineRule="auto"/>
        <w:jc w:val="both"/>
      </w:pPr>
      <w:r>
        <w:lastRenderedPageBreak/>
        <w:t>T</w:t>
      </w:r>
      <w:r w:rsidR="00674D86">
        <w:t xml:space="preserve">his study </w:t>
      </w:r>
      <w:r w:rsidR="00B133FF">
        <w:t>investigates the long-term consequences of conflict and displacement</w:t>
      </w:r>
      <w:r w:rsidR="00D23B24">
        <w:t xml:space="preserve"> in Afghanistan</w:t>
      </w:r>
      <w:r w:rsidR="00B133FF">
        <w:t xml:space="preserve"> by inquiring how the younger generations within displaced households fare in their particular circumstances. More specifically, we compare </w:t>
      </w:r>
      <w:r w:rsidR="00674D86">
        <w:t xml:space="preserve">the differences </w:t>
      </w:r>
      <w:r w:rsidR="00CB6277">
        <w:t xml:space="preserve">in child-specific outcomes </w:t>
      </w:r>
      <w:r w:rsidR="00674D86">
        <w:t xml:space="preserve">between households that have experienced </w:t>
      </w:r>
      <w:r w:rsidR="00BF44BA">
        <w:t>internal</w:t>
      </w:r>
      <w:r w:rsidR="00674D86">
        <w:t xml:space="preserve"> displacement and those who have </w:t>
      </w:r>
      <w:r w:rsidR="00EF0055">
        <w:t>not</w:t>
      </w:r>
      <w:r w:rsidR="00674D86">
        <w:t xml:space="preserve">. </w:t>
      </w:r>
      <w:r w:rsidR="000E0F24">
        <w:t>As a way to infer future livelihood prospects of the child, the</w:t>
      </w:r>
      <w:r>
        <w:t>se</w:t>
      </w:r>
      <w:r w:rsidR="00CB6277">
        <w:t xml:space="preserve"> </w:t>
      </w:r>
      <w:r>
        <w:t>outcomes relate</w:t>
      </w:r>
      <w:r w:rsidR="00CB6277">
        <w:t xml:space="preserve"> to </w:t>
      </w:r>
      <w:r w:rsidR="00190717">
        <w:t>human capital</w:t>
      </w:r>
      <w:r w:rsidR="00EF083E">
        <w:t xml:space="preserve"> formation</w:t>
      </w:r>
      <w:r w:rsidR="00190717">
        <w:t xml:space="preserve"> concentrating on </w:t>
      </w:r>
      <w:r w:rsidR="00674D86">
        <w:t>bo</w:t>
      </w:r>
      <w:r w:rsidR="00190717">
        <w:t>th education and nutrition</w:t>
      </w:r>
      <w:r w:rsidR="00674D86">
        <w:t xml:space="preserve">. </w:t>
      </w:r>
      <w:r w:rsidR="00A27176">
        <w:t xml:space="preserve">The </w:t>
      </w:r>
      <w:r w:rsidR="00674D86">
        <w:t xml:space="preserve">analysis </w:t>
      </w:r>
      <w:r>
        <w:t xml:space="preserve">relies on cross-sectional data from </w:t>
      </w:r>
      <w:r w:rsidR="00674D86">
        <w:t xml:space="preserve">a household survey collected across </w:t>
      </w:r>
      <w:r w:rsidR="00674D86" w:rsidRPr="00C91D9B">
        <w:t xml:space="preserve">Afghanistan </w:t>
      </w:r>
      <w:r w:rsidR="00A16E01">
        <w:t xml:space="preserve">in late </w:t>
      </w:r>
      <w:r w:rsidR="00674D86">
        <w:t>2012</w:t>
      </w:r>
      <w:r w:rsidR="0099722C">
        <w:t>, which allows for exogenous identification of households that were involuntarily displaced due to conflict, insecurity, persecution or natural disaster.</w:t>
      </w:r>
      <w:r w:rsidR="00674D86">
        <w:t xml:space="preserve"> While data collection was conducted with a purposeful eye toward returning refugees</w:t>
      </w:r>
      <w:r w:rsidR="00155A79">
        <w:rPr>
          <w:rStyle w:val="FootnoteReference"/>
        </w:rPr>
        <w:footnoteReference w:id="2"/>
      </w:r>
      <w:r w:rsidR="00674D86">
        <w:t xml:space="preserve">, the prevalence of internally displaced households in the sample allows for further consideration of this uniquely </w:t>
      </w:r>
      <w:r w:rsidR="005B43FD">
        <w:t>vulnerable</w:t>
      </w:r>
      <w:r w:rsidR="006500A6">
        <w:t xml:space="preserve"> group in comparison to those households who never moved.</w:t>
      </w:r>
    </w:p>
    <w:p w:rsidR="00B133FF" w:rsidRDefault="00B133FF" w:rsidP="009F6424">
      <w:pPr>
        <w:spacing w:line="480" w:lineRule="auto"/>
        <w:jc w:val="both"/>
      </w:pPr>
    </w:p>
    <w:p w:rsidR="004C0087" w:rsidRDefault="00B133FF" w:rsidP="009F6424">
      <w:pPr>
        <w:pStyle w:val="ListParagraph"/>
        <w:spacing w:line="480" w:lineRule="auto"/>
        <w:ind w:left="0"/>
        <w:jc w:val="both"/>
      </w:pPr>
      <w:r>
        <w:t xml:space="preserve">In looking at the effects of displacement on human capital formation, Afghanistan makes for an </w:t>
      </w:r>
      <w:r w:rsidR="007778BE">
        <w:t>interesting</w:t>
      </w:r>
      <w:r>
        <w:t xml:space="preserve"> case study for two fundamental reasons. </w:t>
      </w:r>
      <w:r w:rsidR="003B75C4">
        <w:t xml:space="preserve">First, </w:t>
      </w:r>
      <w:r w:rsidR="00B727E5">
        <w:t xml:space="preserve">the </w:t>
      </w:r>
      <w:r w:rsidR="003B75C4">
        <w:t xml:space="preserve">instability </w:t>
      </w:r>
      <w:r w:rsidR="00B727E5">
        <w:t xml:space="preserve">that </w:t>
      </w:r>
      <w:r w:rsidR="003B75C4">
        <w:t xml:space="preserve">has plagued the country </w:t>
      </w:r>
      <w:r w:rsidR="00BE2E72">
        <w:t xml:space="preserve">since the late 1970s </w:t>
      </w:r>
      <w:r w:rsidR="00B727E5">
        <w:t xml:space="preserve">has led </w:t>
      </w:r>
      <w:r w:rsidR="003B75C4">
        <w:t xml:space="preserve">to one of the worst occurrences of forced migration in recent memory. Internal displacement during this time has ebbed and flowed depending on the general level of insecurity, </w:t>
      </w:r>
      <w:r w:rsidR="00F91989">
        <w:t xml:space="preserve">but </w:t>
      </w:r>
      <w:r w:rsidR="00C07E8D">
        <w:t xml:space="preserve">more recently </w:t>
      </w:r>
      <w:r w:rsidR="00381032">
        <w:t>a renewed insurgency</w:t>
      </w:r>
      <w:r w:rsidR="00C07E8D">
        <w:t xml:space="preserve"> has </w:t>
      </w:r>
      <w:r w:rsidR="00F91989">
        <w:t xml:space="preserve">resulted </w:t>
      </w:r>
      <w:r w:rsidR="00A16E01">
        <w:t xml:space="preserve">once again </w:t>
      </w:r>
      <w:r w:rsidR="00F91989">
        <w:t xml:space="preserve">in </w:t>
      </w:r>
      <w:r w:rsidR="00A16E01">
        <w:t>a</w:t>
      </w:r>
      <w:r w:rsidR="00381032">
        <w:t xml:space="preserve"> marked increase in the number of people driven from their homes. </w:t>
      </w:r>
      <w:r w:rsidR="008F6826">
        <w:t xml:space="preserve">The latest approximation </w:t>
      </w:r>
      <w:r w:rsidR="006A3553">
        <w:t xml:space="preserve">for </w:t>
      </w:r>
      <w:r w:rsidR="008F6826">
        <w:t>end-of</w:t>
      </w:r>
      <w:r w:rsidR="006A3553">
        <w:t xml:space="preserve">-year 2013 </w:t>
      </w:r>
      <w:r w:rsidR="008F6826">
        <w:t xml:space="preserve">puts the number of </w:t>
      </w:r>
      <w:r w:rsidR="00BF44BA">
        <w:t xml:space="preserve">individuals </w:t>
      </w:r>
      <w:r w:rsidR="008F6826">
        <w:t xml:space="preserve">that are </w:t>
      </w:r>
      <w:r w:rsidR="00BF44BA">
        <w:t>internally displaced</w:t>
      </w:r>
      <w:r w:rsidR="00AA6ABB">
        <w:t xml:space="preserve"> at 631,0</w:t>
      </w:r>
      <w:r w:rsidR="008F6826">
        <w:t>00</w:t>
      </w:r>
      <w:r w:rsidR="006A3553">
        <w:t xml:space="preserve">, </w:t>
      </w:r>
      <w:r w:rsidR="008F6826">
        <w:t xml:space="preserve">a </w:t>
      </w:r>
      <w:r w:rsidR="00C07E8D">
        <w:t>notable rise</w:t>
      </w:r>
      <w:r w:rsidR="008F6826">
        <w:t xml:space="preserve"> </w:t>
      </w:r>
      <w:r w:rsidR="006A3553">
        <w:t>from a low of 129,000 in 2006 (UNHCR, 2014</w:t>
      </w:r>
      <w:r w:rsidR="009A478D">
        <w:t>b</w:t>
      </w:r>
      <w:r w:rsidR="006A3553">
        <w:t>).</w:t>
      </w:r>
      <w:r w:rsidR="001707A7">
        <w:t xml:space="preserve"> </w:t>
      </w:r>
      <w:r w:rsidR="00A015FA">
        <w:t xml:space="preserve">Moreover, given the </w:t>
      </w:r>
      <w:r w:rsidR="0077150A">
        <w:t xml:space="preserve">political </w:t>
      </w:r>
      <w:r w:rsidR="00A015FA">
        <w:t>change</w:t>
      </w:r>
      <w:r w:rsidR="0077150A">
        <w:t>s</w:t>
      </w:r>
      <w:r w:rsidR="00A015FA">
        <w:t xml:space="preserve"> </w:t>
      </w:r>
      <w:r w:rsidR="006D1466">
        <w:t xml:space="preserve">in 2014 </w:t>
      </w:r>
      <w:r w:rsidR="0077150A">
        <w:t xml:space="preserve">including presidential elections </w:t>
      </w:r>
      <w:r w:rsidR="00A015FA">
        <w:t xml:space="preserve">along with the </w:t>
      </w:r>
      <w:r w:rsidR="00C07E8D">
        <w:t xml:space="preserve">drawdown </w:t>
      </w:r>
      <w:r w:rsidR="00A015FA">
        <w:t xml:space="preserve">of international forces, there is </w:t>
      </w:r>
      <w:r w:rsidR="00BE2E72">
        <w:t>ample</w:t>
      </w:r>
      <w:r w:rsidR="00C07E8D">
        <w:t xml:space="preserve"> </w:t>
      </w:r>
      <w:r w:rsidR="00A015FA">
        <w:lastRenderedPageBreak/>
        <w:t xml:space="preserve">uncertainty about the </w:t>
      </w:r>
      <w:r w:rsidR="0077150A">
        <w:t>stability of the country</w:t>
      </w:r>
      <w:r w:rsidR="00C07E8D">
        <w:t xml:space="preserve"> looking forward. This suggests</w:t>
      </w:r>
      <w:r w:rsidR="0077150A">
        <w:t xml:space="preserve"> </w:t>
      </w:r>
      <w:r w:rsidR="00A015FA">
        <w:t xml:space="preserve">further </w:t>
      </w:r>
      <w:r w:rsidR="004C0087">
        <w:t xml:space="preserve">movement </w:t>
      </w:r>
      <w:r w:rsidR="0077150A">
        <w:t xml:space="preserve">is </w:t>
      </w:r>
      <w:r w:rsidR="00C07E8D">
        <w:t xml:space="preserve">highly </w:t>
      </w:r>
      <w:r w:rsidR="0077150A">
        <w:t>likely</w:t>
      </w:r>
      <w:r w:rsidR="00C07E8D">
        <w:t xml:space="preserve"> and may already be occurring in anticipation of heightened insecurity. Nevertheless, d</w:t>
      </w:r>
      <w:r w:rsidR="00056EB3">
        <w:t xml:space="preserve">espite </w:t>
      </w:r>
      <w:r w:rsidR="00DF716E">
        <w:t>the</w:t>
      </w:r>
      <w:r w:rsidR="00C07E8D">
        <w:t xml:space="preserve"> </w:t>
      </w:r>
      <w:r w:rsidR="00BF4525">
        <w:t xml:space="preserve">high </w:t>
      </w:r>
      <w:r w:rsidR="00207B97">
        <w:t>occurrence</w:t>
      </w:r>
      <w:r w:rsidR="00DF716E">
        <w:t xml:space="preserve"> of displacement</w:t>
      </w:r>
      <w:r w:rsidR="00AA25E0">
        <w:t xml:space="preserve"> </w:t>
      </w:r>
      <w:r w:rsidR="00C07E8D">
        <w:t xml:space="preserve">in the present day </w:t>
      </w:r>
      <w:r w:rsidR="00AA25E0">
        <w:t xml:space="preserve">and likelihood that it </w:t>
      </w:r>
      <w:r w:rsidR="00BB7B09">
        <w:t xml:space="preserve">will </w:t>
      </w:r>
      <w:r w:rsidR="00AA25E0">
        <w:t xml:space="preserve">persist into the near future, there still exists an apparent lack of understanding pertaining to core protection and assistance needs which may help both national and international organizations better serve this </w:t>
      </w:r>
      <w:r w:rsidR="00A61608">
        <w:t xml:space="preserve">at </w:t>
      </w:r>
      <w:r w:rsidR="005B43FD">
        <w:t>risk</w:t>
      </w:r>
      <w:r w:rsidR="00AA25E0">
        <w:t xml:space="preserve"> </w:t>
      </w:r>
      <w:r w:rsidR="0059006D">
        <w:t>sub-population</w:t>
      </w:r>
      <w:r w:rsidR="00AA25E0">
        <w:t xml:space="preserve"> (Samuel Hall</w:t>
      </w:r>
      <w:r w:rsidR="00916712">
        <w:t xml:space="preserve"> Consulting</w:t>
      </w:r>
      <w:r w:rsidR="009B7779">
        <w:t xml:space="preserve">, </w:t>
      </w:r>
      <w:r w:rsidR="00AA25E0">
        <w:t>2012).</w:t>
      </w:r>
    </w:p>
    <w:p w:rsidR="004C0087" w:rsidRDefault="004C0087" w:rsidP="009F6424">
      <w:pPr>
        <w:pStyle w:val="ListParagraph"/>
        <w:spacing w:line="480" w:lineRule="auto"/>
        <w:ind w:left="0"/>
        <w:jc w:val="both"/>
      </w:pPr>
    </w:p>
    <w:p w:rsidR="000C20E4" w:rsidRDefault="004C0087" w:rsidP="009F6424">
      <w:pPr>
        <w:pStyle w:val="ListParagraph"/>
        <w:spacing w:line="480" w:lineRule="auto"/>
        <w:ind w:left="0"/>
        <w:jc w:val="both"/>
      </w:pPr>
      <w:r>
        <w:t xml:space="preserve">Relating </w:t>
      </w:r>
      <w:r w:rsidR="004920BF">
        <w:t>to assistance needs, the s</w:t>
      </w:r>
      <w:r w:rsidR="00F91989">
        <w:t>econd</w:t>
      </w:r>
      <w:r w:rsidR="004920BF">
        <w:t xml:space="preserve"> </w:t>
      </w:r>
      <w:r w:rsidR="00C07E8D">
        <w:t xml:space="preserve">fundamental </w:t>
      </w:r>
      <w:r w:rsidR="004920BF">
        <w:t xml:space="preserve">factor </w:t>
      </w:r>
      <w:r>
        <w:t>concerns</w:t>
      </w:r>
      <w:r w:rsidR="004920BF">
        <w:t xml:space="preserve"> </w:t>
      </w:r>
      <w:r w:rsidR="00F91989">
        <w:t xml:space="preserve">the level of progress </w:t>
      </w:r>
      <w:r w:rsidR="004920BF">
        <w:t xml:space="preserve">in Afghanistan </w:t>
      </w:r>
      <w:r>
        <w:t>in regards to</w:t>
      </w:r>
      <w:r w:rsidR="00F91989">
        <w:t xml:space="preserve"> both </w:t>
      </w:r>
      <w:r w:rsidR="00B727E5">
        <w:t xml:space="preserve">education </w:t>
      </w:r>
      <w:r w:rsidR="004920BF">
        <w:t>and nutrition</w:t>
      </w:r>
      <w:r w:rsidR="00F91989">
        <w:t xml:space="preserve">. </w:t>
      </w:r>
      <w:r>
        <w:t>Even though</w:t>
      </w:r>
      <w:r w:rsidR="004920BF">
        <w:t xml:space="preserve"> modest gains </w:t>
      </w:r>
      <w:r>
        <w:t xml:space="preserve">have been </w:t>
      </w:r>
      <w:r w:rsidR="004920BF">
        <w:t>made</w:t>
      </w:r>
      <w:r w:rsidR="001707A7">
        <w:t xml:space="preserve"> since the last evaluation of its kind</w:t>
      </w:r>
      <w:r w:rsidR="004920BF">
        <w:t>, the most recent National Risk and Vulnerability Assessment</w:t>
      </w:r>
      <w:r w:rsidR="00A619AD">
        <w:t xml:space="preserve"> (NRVA)</w:t>
      </w:r>
      <w:r w:rsidR="004920BF">
        <w:t xml:space="preserve"> for 2011/2012 reports </w:t>
      </w:r>
      <w:r w:rsidR="001707A7">
        <w:t>failings</w:t>
      </w:r>
      <w:r w:rsidR="004920BF">
        <w:t xml:space="preserve"> when it comes to </w:t>
      </w:r>
      <w:r w:rsidR="001707A7">
        <w:t>both school enrollment and food security</w:t>
      </w:r>
      <w:r w:rsidR="004920BF">
        <w:t>.</w:t>
      </w:r>
      <w:r w:rsidR="001707A7">
        <w:t xml:space="preserve"> For the former, only around a quarter </w:t>
      </w:r>
      <w:r w:rsidR="005B43FD">
        <w:t>of school-aged girls and under</w:t>
      </w:r>
      <w:r w:rsidR="001707A7">
        <w:t xml:space="preserve"> half of school-aged boys are enrolled in secondary education. For the latter, around a third of the total population </w:t>
      </w:r>
      <w:r w:rsidR="001C76DB">
        <w:t>has</w:t>
      </w:r>
      <w:r w:rsidR="0059006D">
        <w:t xml:space="preserve"> insufficient caloric intake</w:t>
      </w:r>
      <w:r w:rsidR="001707A7">
        <w:t xml:space="preserve"> and nearly a fifth </w:t>
      </w:r>
      <w:r w:rsidR="003F19AA">
        <w:t>consumes too little protein</w:t>
      </w:r>
      <w:r w:rsidR="0059006D">
        <w:t xml:space="preserve">, </w:t>
      </w:r>
      <w:r w:rsidR="003F19AA">
        <w:t>“a deficiency which particularly affects the nutrition of children under five (</w:t>
      </w:r>
      <w:r w:rsidR="005E6123">
        <w:t>CSO</w:t>
      </w:r>
      <w:r w:rsidR="00D322B4">
        <w:t>, 2014</w:t>
      </w:r>
      <w:r w:rsidR="003F19AA">
        <w:t>: xviii)</w:t>
      </w:r>
      <w:r w:rsidR="001707A7">
        <w:t xml:space="preserve">. </w:t>
      </w:r>
      <w:r w:rsidR="00B727E5">
        <w:t xml:space="preserve">As </w:t>
      </w:r>
      <w:r w:rsidR="00F91989">
        <w:t xml:space="preserve">the </w:t>
      </w:r>
      <w:r w:rsidR="00B727E5">
        <w:t xml:space="preserve">demographic makeup of the country </w:t>
      </w:r>
      <w:r w:rsidR="00A015FA">
        <w:t xml:space="preserve">characterized by one of the youngest age structures in the world </w:t>
      </w:r>
      <w:r w:rsidR="00B727E5">
        <w:t>evolves</w:t>
      </w:r>
      <w:r>
        <w:t xml:space="preserve"> in the coming years</w:t>
      </w:r>
      <w:r w:rsidR="00F91989">
        <w:t xml:space="preserve">, the problems </w:t>
      </w:r>
      <w:r w:rsidR="00B727E5">
        <w:t xml:space="preserve">associated with </w:t>
      </w:r>
      <w:r w:rsidR="00F91989">
        <w:t xml:space="preserve">low human capital </w:t>
      </w:r>
      <w:r w:rsidR="00C07E8D">
        <w:t xml:space="preserve">formation </w:t>
      </w:r>
      <w:r w:rsidR="00F91989">
        <w:t xml:space="preserve">will only complicate an already precarious </w:t>
      </w:r>
      <w:r w:rsidR="00BF4525">
        <w:t>socio-</w:t>
      </w:r>
      <w:r w:rsidR="00F91989">
        <w:t xml:space="preserve">economic situation. If Afghanistan is going to strike a path </w:t>
      </w:r>
      <w:r w:rsidR="00B727E5">
        <w:t xml:space="preserve">towards </w:t>
      </w:r>
      <w:r w:rsidR="00BF4525">
        <w:t>recovery</w:t>
      </w:r>
      <w:r w:rsidR="00A015FA">
        <w:t xml:space="preserve"> after </w:t>
      </w:r>
      <w:r w:rsidR="00F91989">
        <w:t xml:space="preserve">years </w:t>
      </w:r>
      <w:r w:rsidR="00A015FA">
        <w:t xml:space="preserve">of </w:t>
      </w:r>
      <w:r w:rsidR="00BF4525">
        <w:t>instability</w:t>
      </w:r>
      <w:r w:rsidR="00B727E5">
        <w:t xml:space="preserve">, greater investment in the </w:t>
      </w:r>
      <w:r w:rsidR="003B75C4">
        <w:t>future generations</w:t>
      </w:r>
      <w:r w:rsidR="00B727E5">
        <w:t>, especially for those in particularly vulnerable circumstances, is indispensable.</w:t>
      </w:r>
    </w:p>
    <w:p w:rsidR="000C20E4" w:rsidRDefault="000C20E4" w:rsidP="009F6424">
      <w:pPr>
        <w:pStyle w:val="ListParagraph"/>
        <w:spacing w:line="480" w:lineRule="auto"/>
        <w:ind w:left="0"/>
        <w:jc w:val="both"/>
      </w:pPr>
    </w:p>
    <w:p w:rsidR="008669A7" w:rsidRDefault="00EF0055" w:rsidP="00DF7F80">
      <w:pPr>
        <w:pStyle w:val="ListParagraph"/>
        <w:spacing w:line="480" w:lineRule="auto"/>
        <w:ind w:left="0"/>
        <w:jc w:val="both"/>
      </w:pPr>
      <w:r>
        <w:t>O</w:t>
      </w:r>
      <w:r w:rsidR="007778BE">
        <w:t>ur analysis find</w:t>
      </w:r>
      <w:r>
        <w:t>s</w:t>
      </w:r>
      <w:r w:rsidR="007778BE">
        <w:t xml:space="preserve"> strong evidence that displacement leads to greater food insecurity and lower dietary diversity within those households. In particular, a </w:t>
      </w:r>
      <w:r w:rsidR="007778BE" w:rsidRPr="00B6514D">
        <w:t xml:space="preserve">displaced </w:t>
      </w:r>
      <w:r w:rsidR="007778BE">
        <w:t xml:space="preserve">household is 17 percent less </w:t>
      </w:r>
      <w:r w:rsidR="007778BE">
        <w:lastRenderedPageBreak/>
        <w:t xml:space="preserve">likely to have eaten meat in the week prior to the survey, and those displaced households that had eaten meat ate 30 percent less in comparison to their non-displaced counterparts. Moreover, there is indication </w:t>
      </w:r>
      <w:r w:rsidR="00972E57">
        <w:t xml:space="preserve">that </w:t>
      </w:r>
      <w:r w:rsidR="00DF7F80">
        <w:t xml:space="preserve">displacement </w:t>
      </w:r>
      <w:r w:rsidR="008671D1">
        <w:t xml:space="preserve">has </w:t>
      </w:r>
      <w:r w:rsidR="00DF7F80">
        <w:t>a negative effect on school attendance</w:t>
      </w:r>
      <w:r w:rsidR="000C20E4">
        <w:t>,</w:t>
      </w:r>
      <w:r w:rsidR="00DF7F80">
        <w:t xml:space="preserve"> not only for all children but also </w:t>
      </w:r>
      <w:r w:rsidR="000C20E4">
        <w:t>when differentiating</w:t>
      </w:r>
      <w:r w:rsidR="00DF7F80">
        <w:t xml:space="preserve"> by gender</w:t>
      </w:r>
      <w:r w:rsidR="001C76DB">
        <w:t>.</w:t>
      </w:r>
      <w:r w:rsidR="008671D1">
        <w:t xml:space="preserve"> </w:t>
      </w:r>
      <w:r w:rsidR="007778BE">
        <w:t>However</w:t>
      </w:r>
      <w:r w:rsidR="008671D1">
        <w:t xml:space="preserve"> </w:t>
      </w:r>
      <w:r w:rsidR="000C20E4">
        <w:t xml:space="preserve">these </w:t>
      </w:r>
      <w:r w:rsidR="00166CA8">
        <w:t xml:space="preserve">estimates are </w:t>
      </w:r>
      <w:r w:rsidR="00A71512">
        <w:t>not robust to the inclusion of location fixed effects</w:t>
      </w:r>
      <w:r w:rsidR="00DF7F80">
        <w:t xml:space="preserve">. </w:t>
      </w:r>
      <w:r w:rsidR="000C20E4">
        <w:t>As such, i</w:t>
      </w:r>
      <w:r w:rsidR="00A71512">
        <w:t xml:space="preserve">t seems we can deduce </w:t>
      </w:r>
      <w:r w:rsidR="00166CA8">
        <w:t xml:space="preserve">then </w:t>
      </w:r>
      <w:r w:rsidR="00A71512">
        <w:t xml:space="preserve">that </w:t>
      </w:r>
      <w:r w:rsidR="008A7C69">
        <w:t xml:space="preserve">the </w:t>
      </w:r>
      <w:r w:rsidR="00AA1DD4">
        <w:t xml:space="preserve">dynamics within the communities of displacement are more likely to influence educational outcomes regardless of whether the household is displaced or not. This may be due the </w:t>
      </w:r>
      <w:r w:rsidR="007778BE">
        <w:t xml:space="preserve">lack of </w:t>
      </w:r>
      <w:r w:rsidR="00A71512">
        <w:t>local</w:t>
      </w:r>
      <w:r w:rsidR="00A71875">
        <w:t xml:space="preserve"> services</w:t>
      </w:r>
      <w:r w:rsidR="00A71512">
        <w:t xml:space="preserve"> within the community (i.e. schools)</w:t>
      </w:r>
      <w:r w:rsidR="00AA1DD4">
        <w:t xml:space="preserve">, or </w:t>
      </w:r>
      <w:r w:rsidR="007778BE">
        <w:t xml:space="preserve">perhaps areas receiving the displaced are poorer </w:t>
      </w:r>
      <w:r w:rsidR="00B51876">
        <w:t xml:space="preserve">in general resulting in a substitution of </w:t>
      </w:r>
      <w:r w:rsidR="006C4D6E">
        <w:t>schooling for income-generating activities</w:t>
      </w:r>
      <w:r w:rsidR="00B51876">
        <w:t>.</w:t>
      </w:r>
    </w:p>
    <w:p w:rsidR="007778BE" w:rsidRDefault="007778BE" w:rsidP="00DF7F80">
      <w:pPr>
        <w:pStyle w:val="ListParagraph"/>
        <w:spacing w:line="480" w:lineRule="auto"/>
        <w:ind w:left="0"/>
        <w:jc w:val="both"/>
      </w:pPr>
    </w:p>
    <w:p w:rsidR="00510F10" w:rsidRDefault="00A61608" w:rsidP="009F6424">
      <w:pPr>
        <w:pStyle w:val="ListParagraph"/>
        <w:spacing w:line="480" w:lineRule="auto"/>
        <w:ind w:left="0"/>
        <w:jc w:val="both"/>
      </w:pPr>
      <w:r>
        <w:t>T</w:t>
      </w:r>
      <w:r w:rsidR="00510F10">
        <w:t xml:space="preserve">he </w:t>
      </w:r>
      <w:r w:rsidR="00C34089">
        <w:t>remainder of this</w:t>
      </w:r>
      <w:r w:rsidR="00510F10">
        <w:t xml:space="preserve"> article is structured as follow</w:t>
      </w:r>
      <w:r w:rsidR="00BB7B09">
        <w:t>s</w:t>
      </w:r>
      <w:r w:rsidR="00AE5AD4">
        <w:t xml:space="preserve">. The next section provides an </w:t>
      </w:r>
      <w:r w:rsidR="00510F10">
        <w:t xml:space="preserve">outline of </w:t>
      </w:r>
      <w:r w:rsidR="00EF2F9B">
        <w:t xml:space="preserve">the theoretical considerations and past evidence related to </w:t>
      </w:r>
      <w:r>
        <w:t xml:space="preserve">the </w:t>
      </w:r>
      <w:r w:rsidR="0043619B">
        <w:t xml:space="preserve">consequences of </w:t>
      </w:r>
      <w:r w:rsidR="00510F10">
        <w:t xml:space="preserve">conflict </w:t>
      </w:r>
      <w:r>
        <w:t xml:space="preserve">and </w:t>
      </w:r>
      <w:r w:rsidR="00EF2F9B">
        <w:t>displacement</w:t>
      </w:r>
      <w:r w:rsidR="003B21A0">
        <w:t>, with emphasis on the education and nutrition of children</w:t>
      </w:r>
      <w:r w:rsidR="00EF2F9B">
        <w:t>.</w:t>
      </w:r>
      <w:r w:rsidR="00510F10">
        <w:t xml:space="preserve"> </w:t>
      </w:r>
      <w:r w:rsidR="00EF2F9B">
        <w:t>Following that</w:t>
      </w:r>
      <w:r w:rsidR="0043619B">
        <w:t>,</w:t>
      </w:r>
      <w:r w:rsidR="00EF2F9B">
        <w:t xml:space="preserve"> </w:t>
      </w:r>
      <w:r w:rsidR="00AE5AD4">
        <w:t xml:space="preserve">a brief background of internal displacement within Afghanistan is presented. </w:t>
      </w:r>
      <w:r w:rsidR="00A71875">
        <w:t xml:space="preserve">We then provide an overview of our </w:t>
      </w:r>
      <w:r w:rsidR="000335AE">
        <w:t xml:space="preserve">methodology including </w:t>
      </w:r>
      <w:r w:rsidR="00AE5AD4">
        <w:t xml:space="preserve">further </w:t>
      </w:r>
      <w:r w:rsidR="000335AE">
        <w:t xml:space="preserve">information about the </w:t>
      </w:r>
      <w:r w:rsidR="00AE5AD4">
        <w:t xml:space="preserve">dataset </w:t>
      </w:r>
      <w:r w:rsidR="000335AE">
        <w:t>along with summary statistics</w:t>
      </w:r>
      <w:r w:rsidR="00A71875">
        <w:t>,</w:t>
      </w:r>
      <w:r w:rsidR="000335AE">
        <w:t xml:space="preserve"> </w:t>
      </w:r>
      <w:r w:rsidR="00AE5AD4">
        <w:t xml:space="preserve">followed by </w:t>
      </w:r>
      <w:r w:rsidR="000335AE">
        <w:t>th</w:t>
      </w:r>
      <w:r w:rsidR="0007725A">
        <w:t>e</w:t>
      </w:r>
      <w:r w:rsidR="00510F10">
        <w:t xml:space="preserve"> </w:t>
      </w:r>
      <w:r w:rsidR="000335AE">
        <w:t xml:space="preserve">empirical </w:t>
      </w:r>
      <w:r w:rsidR="00AE5AD4">
        <w:t>models used for estimation</w:t>
      </w:r>
      <w:r w:rsidR="00A71875">
        <w:t>.</w:t>
      </w:r>
      <w:r w:rsidR="00EF2F9B">
        <w:t xml:space="preserve"> </w:t>
      </w:r>
      <w:r w:rsidR="00AE5AD4">
        <w:t xml:space="preserve">We </w:t>
      </w:r>
      <w:r w:rsidR="00A71875">
        <w:t xml:space="preserve">finally </w:t>
      </w:r>
      <w:r w:rsidR="00AE5AD4">
        <w:t xml:space="preserve">present our </w:t>
      </w:r>
      <w:r w:rsidR="0043619B">
        <w:t>results</w:t>
      </w:r>
      <w:r w:rsidR="000335AE">
        <w:t xml:space="preserve"> </w:t>
      </w:r>
      <w:r w:rsidR="00AE5AD4">
        <w:t xml:space="preserve">and conclude with a </w:t>
      </w:r>
      <w:r w:rsidR="00EF2F9B">
        <w:t>discussion concerning</w:t>
      </w:r>
      <w:r w:rsidR="00A71875">
        <w:t xml:space="preserve"> the</w:t>
      </w:r>
      <w:r w:rsidR="00EF2F9B">
        <w:t xml:space="preserve"> </w:t>
      </w:r>
      <w:r w:rsidR="000335AE">
        <w:t xml:space="preserve">limitations of our </w:t>
      </w:r>
      <w:r w:rsidR="00AE5AD4">
        <w:t xml:space="preserve">analysis </w:t>
      </w:r>
      <w:r w:rsidR="000335AE">
        <w:t>and policy relevance</w:t>
      </w:r>
      <w:r w:rsidR="0043619B">
        <w:t>.</w:t>
      </w:r>
    </w:p>
    <w:p w:rsidR="00893BBF" w:rsidRDefault="00893BBF" w:rsidP="009F6424">
      <w:pPr>
        <w:pStyle w:val="ListParagraph"/>
        <w:spacing w:line="480" w:lineRule="auto"/>
        <w:ind w:left="0"/>
        <w:jc w:val="both"/>
      </w:pPr>
    </w:p>
    <w:p w:rsidR="006D2795" w:rsidRPr="006F5ECD" w:rsidRDefault="004F3760" w:rsidP="009F6424">
      <w:pPr>
        <w:pStyle w:val="ListParagraph"/>
        <w:numPr>
          <w:ilvl w:val="0"/>
          <w:numId w:val="2"/>
        </w:numPr>
        <w:spacing w:after="200" w:line="480" w:lineRule="auto"/>
        <w:ind w:left="360"/>
        <w:contextualSpacing w:val="0"/>
        <w:jc w:val="both"/>
        <w:rPr>
          <w:b/>
          <w:sz w:val="28"/>
        </w:rPr>
      </w:pPr>
      <w:r>
        <w:rPr>
          <w:b/>
          <w:sz w:val="28"/>
        </w:rPr>
        <w:t xml:space="preserve">Literature Review: </w:t>
      </w:r>
      <w:r w:rsidR="00A73209">
        <w:rPr>
          <w:b/>
          <w:sz w:val="28"/>
        </w:rPr>
        <w:t xml:space="preserve">Theoretical </w:t>
      </w:r>
      <w:r w:rsidR="00C038CF">
        <w:rPr>
          <w:b/>
          <w:sz w:val="28"/>
        </w:rPr>
        <w:t>Considerations</w:t>
      </w:r>
      <w:r w:rsidR="00A73209">
        <w:rPr>
          <w:b/>
          <w:sz w:val="28"/>
        </w:rPr>
        <w:t xml:space="preserve"> and Past Evidence</w:t>
      </w:r>
    </w:p>
    <w:p w:rsidR="002E0284" w:rsidRDefault="00840282" w:rsidP="009F6424">
      <w:pPr>
        <w:spacing w:line="480" w:lineRule="auto"/>
        <w:jc w:val="both"/>
      </w:pPr>
      <w:r>
        <w:t>Interest in understanding the</w:t>
      </w:r>
      <w:r w:rsidR="001D5DA7">
        <w:t xml:space="preserve"> </w:t>
      </w:r>
      <w:r>
        <w:t xml:space="preserve">consequences of </w:t>
      </w:r>
      <w:r w:rsidR="001F2B11">
        <w:t xml:space="preserve">armed </w:t>
      </w:r>
      <w:r>
        <w:t xml:space="preserve">conflict </w:t>
      </w:r>
      <w:r w:rsidR="00C615A3">
        <w:t>within the field</w:t>
      </w:r>
      <w:r w:rsidR="001D5DA7">
        <w:t>s</w:t>
      </w:r>
      <w:r w:rsidR="00C615A3">
        <w:t xml:space="preserve"> of</w:t>
      </w:r>
      <w:r w:rsidR="001D5DA7">
        <w:t xml:space="preserve"> political science and</w:t>
      </w:r>
      <w:r w:rsidR="00C615A3">
        <w:t xml:space="preserve"> development economics </w:t>
      </w:r>
      <w:r w:rsidR="00547BAD">
        <w:t xml:space="preserve">has blossomed over the years. </w:t>
      </w:r>
      <w:r w:rsidR="007C264C">
        <w:t>Conceptually, the long-term effect</w:t>
      </w:r>
      <w:r w:rsidR="00547BAD">
        <w:t>s on development are ambiguous. F</w:t>
      </w:r>
      <w:r w:rsidR="004D3079">
        <w:t xml:space="preserve">rom a </w:t>
      </w:r>
      <w:r w:rsidR="007C264C">
        <w:t>macro-</w:t>
      </w:r>
      <w:r w:rsidR="004110BA">
        <w:t xml:space="preserve">level </w:t>
      </w:r>
      <w:r w:rsidR="007C264C">
        <w:t>perspective</w:t>
      </w:r>
      <w:r w:rsidR="00547BAD">
        <w:t>,</w:t>
      </w:r>
      <w:r w:rsidR="007C264C">
        <w:t xml:space="preserve"> there is </w:t>
      </w:r>
      <w:r w:rsidR="004D3079">
        <w:t xml:space="preserve">the </w:t>
      </w:r>
      <w:r w:rsidR="007C264C">
        <w:t xml:space="preserve">expectation </w:t>
      </w:r>
      <w:r w:rsidR="004D3079">
        <w:lastRenderedPageBreak/>
        <w:t xml:space="preserve">following neoclassical growth models </w:t>
      </w:r>
      <w:r w:rsidR="007C264C">
        <w:t xml:space="preserve">that </w:t>
      </w:r>
      <w:r w:rsidR="004D3079">
        <w:t xml:space="preserve">after </w:t>
      </w:r>
      <w:r w:rsidR="00786981">
        <w:t>fighting</w:t>
      </w:r>
      <w:r w:rsidR="004D3079">
        <w:t xml:space="preserve"> </w:t>
      </w:r>
      <w:proofErr w:type="gramStart"/>
      <w:r w:rsidR="00016954">
        <w:t>subsides</w:t>
      </w:r>
      <w:proofErr w:type="gramEnd"/>
      <w:r w:rsidR="004D3079">
        <w:t xml:space="preserve"> a country will </w:t>
      </w:r>
      <w:r w:rsidR="007C264C">
        <w:t xml:space="preserve">quickly recover </w:t>
      </w:r>
      <w:r w:rsidR="004D3079">
        <w:t>back to its steady state growth rate</w:t>
      </w:r>
      <w:r w:rsidR="0077150D">
        <w:t xml:space="preserve"> (</w:t>
      </w:r>
      <w:proofErr w:type="spellStart"/>
      <w:r w:rsidR="0077150D" w:rsidRPr="0077150D">
        <w:t>Blattman</w:t>
      </w:r>
      <w:proofErr w:type="spellEnd"/>
      <w:r w:rsidR="0077150D" w:rsidRPr="0077150D">
        <w:t xml:space="preserve"> </w:t>
      </w:r>
      <w:r w:rsidR="00726DF7">
        <w:t xml:space="preserve">&amp; </w:t>
      </w:r>
      <w:r w:rsidR="0077150D" w:rsidRPr="0077150D">
        <w:t>Miguel, 2010</w:t>
      </w:r>
      <w:r w:rsidR="0077150D">
        <w:t>)</w:t>
      </w:r>
      <w:r w:rsidR="004D3079">
        <w:t>. Even though the duration of recovery may vary, the</w:t>
      </w:r>
      <w:r w:rsidR="00786981">
        <w:t xml:space="preserve">re exists </w:t>
      </w:r>
      <w:r w:rsidR="004D3079">
        <w:t xml:space="preserve">empirical evidence mostly </w:t>
      </w:r>
      <w:r w:rsidR="00786981">
        <w:t>supporting</w:t>
      </w:r>
      <w:r w:rsidR="004D3079">
        <w:t xml:space="preserve"> such a conjecture in a diverse set of environments ranging from post-war Japan (Davis and Weinstein, 2002), West Germany (</w:t>
      </w:r>
      <w:proofErr w:type="spellStart"/>
      <w:r w:rsidR="004D3079">
        <w:t>Brakman</w:t>
      </w:r>
      <w:proofErr w:type="spellEnd"/>
      <w:r w:rsidR="004D3079">
        <w:t xml:space="preserve"> et al., 2004)</w:t>
      </w:r>
      <w:r w:rsidR="00771465">
        <w:t>, Rwanda (</w:t>
      </w:r>
      <w:proofErr w:type="spellStart"/>
      <w:r w:rsidR="00771465">
        <w:t>Justino</w:t>
      </w:r>
      <w:proofErr w:type="spellEnd"/>
      <w:r w:rsidR="00771465">
        <w:t xml:space="preserve"> </w:t>
      </w:r>
      <w:r w:rsidR="00726DF7">
        <w:t xml:space="preserve">&amp; </w:t>
      </w:r>
      <w:proofErr w:type="spellStart"/>
      <w:r w:rsidR="00771465">
        <w:t>Verwimp</w:t>
      </w:r>
      <w:proofErr w:type="spellEnd"/>
      <w:r w:rsidR="00771465">
        <w:t>, 2006)</w:t>
      </w:r>
      <w:r w:rsidR="004D3079">
        <w:t xml:space="preserve"> and Vietnam (Miguel</w:t>
      </w:r>
      <w:r w:rsidR="00272AF4">
        <w:t xml:space="preserve"> </w:t>
      </w:r>
      <w:r w:rsidR="00726DF7">
        <w:t xml:space="preserve">&amp; </w:t>
      </w:r>
      <w:r w:rsidR="00272AF4">
        <w:t xml:space="preserve">Roland, 2011) along with </w:t>
      </w:r>
      <w:r w:rsidR="004D3079">
        <w:t>cross-country analyses (</w:t>
      </w:r>
      <w:proofErr w:type="spellStart"/>
      <w:r w:rsidR="005E6123">
        <w:t>Cerra</w:t>
      </w:r>
      <w:proofErr w:type="spellEnd"/>
      <w:r w:rsidR="005E6123">
        <w:t xml:space="preserve"> &amp; </w:t>
      </w:r>
      <w:proofErr w:type="spellStart"/>
      <w:r w:rsidR="005E6123">
        <w:t>Saxena</w:t>
      </w:r>
      <w:proofErr w:type="spellEnd"/>
      <w:r w:rsidR="005E6123">
        <w:t xml:space="preserve">, 2008; </w:t>
      </w:r>
      <w:r w:rsidR="004D3079">
        <w:t>Chen et al., 2008)</w:t>
      </w:r>
      <w:r w:rsidR="00A71875">
        <w:t>.</w:t>
      </w:r>
    </w:p>
    <w:p w:rsidR="002E0284" w:rsidRDefault="002E0284" w:rsidP="009F6424">
      <w:pPr>
        <w:spacing w:line="480" w:lineRule="auto"/>
        <w:jc w:val="both"/>
      </w:pPr>
    </w:p>
    <w:p w:rsidR="00325DD2" w:rsidRDefault="00771465" w:rsidP="009F6424">
      <w:pPr>
        <w:spacing w:line="480" w:lineRule="auto"/>
        <w:jc w:val="both"/>
      </w:pPr>
      <w:r>
        <w:t xml:space="preserve">On the other hand </w:t>
      </w:r>
      <w:r w:rsidR="002E0284">
        <w:t>however</w:t>
      </w:r>
      <w:r>
        <w:t xml:space="preserve">, </w:t>
      </w:r>
      <w:r w:rsidR="00791969">
        <w:t>more recent poverty trap</w:t>
      </w:r>
      <w:r w:rsidR="00BA5A53">
        <w:t xml:space="preserve"> and endogenous growth </w:t>
      </w:r>
      <w:r w:rsidR="00791969">
        <w:t xml:space="preserve">models </w:t>
      </w:r>
      <w:r w:rsidR="00BB2A00">
        <w:t xml:space="preserve">suggest a </w:t>
      </w:r>
      <w:r w:rsidR="00325DD2">
        <w:t xml:space="preserve">more </w:t>
      </w:r>
      <w:r w:rsidR="00BB2A00">
        <w:t>drawn-out recovery in the wake of conflict</w:t>
      </w:r>
      <w:r w:rsidR="00BA5A53">
        <w:t xml:space="preserve"> especially when taking into account asymmetric destruction of physical and human capital.</w:t>
      </w:r>
      <w:r w:rsidR="00BA5A53" w:rsidRPr="00BA5A53">
        <w:rPr>
          <w:color w:val="000000"/>
          <w:lang w:val="en-GB"/>
        </w:rPr>
        <w:t xml:space="preserve"> </w:t>
      </w:r>
      <w:r w:rsidR="00325DD2">
        <w:rPr>
          <w:color w:val="000000"/>
          <w:lang w:val="en-GB"/>
        </w:rPr>
        <w:t xml:space="preserve">As </w:t>
      </w:r>
      <w:proofErr w:type="spellStart"/>
      <w:r w:rsidR="00325DD2">
        <w:rPr>
          <w:color w:val="000000"/>
          <w:lang w:val="en-GB"/>
        </w:rPr>
        <w:t>Blattm</w:t>
      </w:r>
      <w:r w:rsidR="00EB6ECC">
        <w:rPr>
          <w:color w:val="000000"/>
          <w:lang w:val="en-GB"/>
        </w:rPr>
        <w:t>an</w:t>
      </w:r>
      <w:proofErr w:type="spellEnd"/>
      <w:r w:rsidR="00EB6ECC">
        <w:rPr>
          <w:color w:val="000000"/>
          <w:lang w:val="en-GB"/>
        </w:rPr>
        <w:t xml:space="preserve"> </w:t>
      </w:r>
      <w:r w:rsidR="00726DF7">
        <w:t xml:space="preserve">&amp; </w:t>
      </w:r>
      <w:r w:rsidR="00EB6ECC">
        <w:rPr>
          <w:color w:val="000000"/>
          <w:lang w:val="en-GB"/>
        </w:rPr>
        <w:t>Miguel (2010: 38) convey</w:t>
      </w:r>
      <w:r w:rsidR="00547BAD">
        <w:rPr>
          <w:color w:val="000000"/>
          <w:lang w:val="en-GB"/>
        </w:rPr>
        <w:t xml:space="preserve">, “the disproportionate loss of human capital in war results in slower economic growth and recovery than the destruction of physical capital, during the transition back to steady state growth”. </w:t>
      </w:r>
      <w:r w:rsidR="00325DD2">
        <w:rPr>
          <w:color w:val="000000"/>
          <w:lang w:val="en-GB"/>
        </w:rPr>
        <w:t xml:space="preserve">Moreover, </w:t>
      </w:r>
      <w:r w:rsidR="00325DD2">
        <w:t xml:space="preserve">violent conflict is likely to </w:t>
      </w:r>
      <w:r w:rsidR="002A759E">
        <w:t xml:space="preserve">undermine the </w:t>
      </w:r>
      <w:r w:rsidR="00325DD2">
        <w:t>social and institutional foundations of a country</w:t>
      </w:r>
      <w:r w:rsidR="002A759E">
        <w:t>,</w:t>
      </w:r>
      <w:r w:rsidR="00325DD2">
        <w:t xml:space="preserve"> which </w:t>
      </w:r>
      <w:r w:rsidR="002A759E">
        <w:t xml:space="preserve">could have </w:t>
      </w:r>
      <w:r w:rsidR="00325DD2">
        <w:t xml:space="preserve">long-lasting and possible less apparent consequences for economic and political development. </w:t>
      </w:r>
      <w:r w:rsidR="00027048">
        <w:t>Even though e</w:t>
      </w:r>
      <w:r w:rsidR="00BB2A00">
        <w:t xml:space="preserve">mpirical evidence </w:t>
      </w:r>
      <w:r w:rsidR="003730A3">
        <w:t>highlight</w:t>
      </w:r>
      <w:r w:rsidR="00B24D27">
        <w:t>ing</w:t>
      </w:r>
      <w:r w:rsidR="003730A3">
        <w:t xml:space="preserve"> </w:t>
      </w:r>
      <w:r w:rsidR="00027048">
        <w:t xml:space="preserve">such a </w:t>
      </w:r>
      <w:r w:rsidR="003730A3">
        <w:t xml:space="preserve">complex </w:t>
      </w:r>
      <w:r w:rsidR="00027048">
        <w:t xml:space="preserve">relationship is less clear-cut given the inherent </w:t>
      </w:r>
      <w:r w:rsidR="001F6EEB">
        <w:t xml:space="preserve">measurement </w:t>
      </w:r>
      <w:r w:rsidR="003730A3">
        <w:t>difficulties, a few novel approaches provide valuable in</w:t>
      </w:r>
      <w:r w:rsidR="00684A19">
        <w:t>sight. Miguel et al. (2011</w:t>
      </w:r>
      <w:r w:rsidR="003730A3">
        <w:t xml:space="preserve">), for example, use fouls committed in European soccer to </w:t>
      </w:r>
      <w:r w:rsidR="00B24D27">
        <w:t xml:space="preserve">show </w:t>
      </w:r>
      <w:r w:rsidR="003730A3">
        <w:t xml:space="preserve">how civil war </w:t>
      </w:r>
      <w:r w:rsidR="00B24D27">
        <w:t>over the continent’s history influences</w:t>
      </w:r>
      <w:r w:rsidR="003730A3">
        <w:t xml:space="preserve"> socio-cultural norms towards violence. Alternatively, </w:t>
      </w:r>
      <w:r w:rsidR="00325DD2">
        <w:t xml:space="preserve">Dell (2012) argues </w:t>
      </w:r>
      <w:r w:rsidR="003730A3">
        <w:t xml:space="preserve">that </w:t>
      </w:r>
      <w:r w:rsidR="00325DD2">
        <w:t>insurgent activity during the Mexican Revolution</w:t>
      </w:r>
      <w:r w:rsidR="003730A3">
        <w:t xml:space="preserve"> in the early 20</w:t>
      </w:r>
      <w:r w:rsidR="003730A3" w:rsidRPr="003730A3">
        <w:rPr>
          <w:vertAlign w:val="superscript"/>
        </w:rPr>
        <w:t>th</w:t>
      </w:r>
      <w:r w:rsidR="003730A3">
        <w:t xml:space="preserve"> century</w:t>
      </w:r>
      <w:r w:rsidR="00325DD2">
        <w:t xml:space="preserve"> may </w:t>
      </w:r>
      <w:r w:rsidR="002A759E">
        <w:t xml:space="preserve">well explain why certain municipalities in present-day Mexico are substantially poorer and have </w:t>
      </w:r>
      <w:r w:rsidR="003730A3">
        <w:t xml:space="preserve">significantly less </w:t>
      </w:r>
      <w:r w:rsidR="002A759E">
        <w:t xml:space="preserve">turnover when it comes to </w:t>
      </w:r>
      <w:r w:rsidR="00325DD2">
        <w:t xml:space="preserve">local political representation. </w:t>
      </w:r>
      <w:r w:rsidR="0001573F">
        <w:t>More tangible</w:t>
      </w:r>
      <w:r w:rsidR="003730A3">
        <w:t xml:space="preserve"> </w:t>
      </w:r>
      <w:r w:rsidR="0001573F">
        <w:t xml:space="preserve">still </w:t>
      </w:r>
      <w:r w:rsidR="003730A3">
        <w:t xml:space="preserve">than these </w:t>
      </w:r>
      <w:r w:rsidR="0001573F">
        <w:t xml:space="preserve">deeply entrenched </w:t>
      </w:r>
      <w:r w:rsidR="003730A3">
        <w:t>historical effects</w:t>
      </w:r>
      <w:r w:rsidR="0001573F">
        <w:t xml:space="preserve">, </w:t>
      </w:r>
      <w:r w:rsidR="00B75AB3">
        <w:t xml:space="preserve">war </w:t>
      </w:r>
      <w:r w:rsidR="00325DD2">
        <w:t xml:space="preserve">may </w:t>
      </w:r>
      <w:r w:rsidR="0001573F">
        <w:t xml:space="preserve">also </w:t>
      </w:r>
      <w:r w:rsidR="00325DD2">
        <w:t>simply curtail the ability of local civil institutions</w:t>
      </w:r>
      <w:r w:rsidR="00C94607">
        <w:t>, like schools or health clinics,</w:t>
      </w:r>
      <w:r w:rsidR="00325DD2">
        <w:t xml:space="preserve"> from </w:t>
      </w:r>
      <w:r w:rsidR="00325DD2">
        <w:lastRenderedPageBreak/>
        <w:t>fulfilling their critical functions. To assess this</w:t>
      </w:r>
      <w:r w:rsidR="00547BAD">
        <w:t>,</w:t>
      </w:r>
      <w:r w:rsidR="00325DD2">
        <w:t xml:space="preserve"> however, </w:t>
      </w:r>
      <w:r w:rsidR="00F474F5">
        <w:t xml:space="preserve">it is necessary </w:t>
      </w:r>
      <w:r w:rsidR="00547BAD">
        <w:t xml:space="preserve">to focus not on the </w:t>
      </w:r>
      <w:r w:rsidR="00325DD2">
        <w:t>macro-level effect</w:t>
      </w:r>
      <w:r w:rsidR="0001573F">
        <w:t>s</w:t>
      </w:r>
      <w:r w:rsidR="00325DD2">
        <w:t xml:space="preserve"> but rather the micro-level consequences for individual</w:t>
      </w:r>
      <w:r w:rsidR="00BF4525">
        <w:t>s</w:t>
      </w:r>
      <w:r w:rsidR="00325DD2">
        <w:t xml:space="preserve"> </w:t>
      </w:r>
      <w:r w:rsidR="00E72699">
        <w:t>and entire</w:t>
      </w:r>
      <w:r w:rsidR="00325DD2">
        <w:t xml:space="preserve"> household</w:t>
      </w:r>
      <w:r w:rsidR="00BF4525">
        <w:t>s</w:t>
      </w:r>
      <w:r w:rsidR="00325DD2">
        <w:t>.</w:t>
      </w:r>
    </w:p>
    <w:p w:rsidR="00547BAD" w:rsidRPr="00325DD2" w:rsidRDefault="00547BAD" w:rsidP="009F6424">
      <w:pPr>
        <w:spacing w:line="480" w:lineRule="auto"/>
        <w:jc w:val="both"/>
        <w:rPr>
          <w:color w:val="000000"/>
        </w:rPr>
      </w:pPr>
    </w:p>
    <w:p w:rsidR="00835AA5" w:rsidRDefault="001F2B11" w:rsidP="009F6424">
      <w:pPr>
        <w:spacing w:line="480" w:lineRule="auto"/>
        <w:jc w:val="both"/>
      </w:pPr>
      <w:r>
        <w:t>D</w:t>
      </w:r>
      <w:r w:rsidR="00EB6ECC">
        <w:t xml:space="preserve">uring </w:t>
      </w:r>
      <w:r w:rsidR="00E72699">
        <w:t xml:space="preserve">times of </w:t>
      </w:r>
      <w:r w:rsidR="00BF4525">
        <w:t xml:space="preserve">conflict </w:t>
      </w:r>
      <w:r>
        <w:t xml:space="preserve">it is usually </w:t>
      </w:r>
      <w:r w:rsidR="00C94607">
        <w:t xml:space="preserve">the civilian population </w:t>
      </w:r>
      <w:r w:rsidR="00547BAD">
        <w:t>which incurs the greatest burden</w:t>
      </w:r>
      <w:r w:rsidR="00C94607">
        <w:t>. With this in mind, t</w:t>
      </w:r>
      <w:r w:rsidR="00B70B92">
        <w:t xml:space="preserve">he majority </w:t>
      </w:r>
      <w:r w:rsidR="004F3760">
        <w:t xml:space="preserve">of the </w:t>
      </w:r>
      <w:r w:rsidR="00B70B92">
        <w:t xml:space="preserve">micro-level </w:t>
      </w:r>
      <w:r w:rsidR="0001573F">
        <w:t xml:space="preserve">literature </w:t>
      </w:r>
      <w:r w:rsidR="00F474F5">
        <w:t>considers</w:t>
      </w:r>
      <w:r w:rsidR="004F3760">
        <w:t xml:space="preserve"> </w:t>
      </w:r>
      <w:r w:rsidR="00B24D27">
        <w:t xml:space="preserve">the effects of fighting on </w:t>
      </w:r>
      <w:r w:rsidR="004F3760">
        <w:t xml:space="preserve">human capital </w:t>
      </w:r>
      <w:r w:rsidR="00F03920">
        <w:t xml:space="preserve">accumulation amongst </w:t>
      </w:r>
      <w:r w:rsidR="00A82CDD">
        <w:t>noncombatants</w:t>
      </w:r>
      <w:r w:rsidR="004F3760">
        <w:t>, touching on topics like</w:t>
      </w:r>
      <w:r w:rsidR="0077150D">
        <w:t xml:space="preserve"> employment,</w:t>
      </w:r>
      <w:r w:rsidR="004F3760">
        <w:t xml:space="preserve"> </w:t>
      </w:r>
      <w:r w:rsidR="00F03920">
        <w:t>education</w:t>
      </w:r>
      <w:r w:rsidR="00A82CDD" w:rsidRPr="00A82CDD">
        <w:t xml:space="preserve"> </w:t>
      </w:r>
      <w:r w:rsidR="00F03920">
        <w:t>and health</w:t>
      </w:r>
      <w:r w:rsidR="004F3760">
        <w:t>.</w:t>
      </w:r>
      <w:r w:rsidR="00F03920">
        <w:t xml:space="preserve"> </w:t>
      </w:r>
      <w:r w:rsidR="00C40BC1">
        <w:t>I</w:t>
      </w:r>
      <w:r w:rsidR="00A82CDD">
        <w:t xml:space="preserve">t is natural </w:t>
      </w:r>
      <w:r w:rsidR="00990FD3">
        <w:t xml:space="preserve">then </w:t>
      </w:r>
      <w:r w:rsidR="00A82CDD">
        <w:t xml:space="preserve">that </w:t>
      </w:r>
      <w:r w:rsidR="00C40BC1">
        <w:t xml:space="preserve">questions arise concerning </w:t>
      </w:r>
      <w:r w:rsidR="00A82CDD">
        <w:t>how childre</w:t>
      </w:r>
      <w:r w:rsidR="00F474F5">
        <w:t xml:space="preserve">n in particular are affected </w:t>
      </w:r>
      <w:r w:rsidR="00A82CDD">
        <w:t>by war</w:t>
      </w:r>
      <w:r w:rsidR="00C40BC1">
        <w:t xml:space="preserve"> given </w:t>
      </w:r>
      <w:r w:rsidR="00B24D27">
        <w:t xml:space="preserve">investment in their </w:t>
      </w:r>
      <w:r w:rsidR="00C40BC1">
        <w:t>human capital is most at stake</w:t>
      </w:r>
      <w:r w:rsidR="00A82CDD">
        <w:t>.</w:t>
      </w:r>
      <w:r w:rsidR="00D23B24">
        <w:t xml:space="preserve"> Indeed, the loss of human capital during childhood may have severe long-run effects on individual and household welfare</w:t>
      </w:r>
      <w:r w:rsidR="004E6E12">
        <w:t xml:space="preserve"> </w:t>
      </w:r>
      <w:r w:rsidR="00402026">
        <w:t xml:space="preserve">as it reduces their </w:t>
      </w:r>
      <w:r w:rsidR="004E6E12">
        <w:t>future livelihood prospects</w:t>
      </w:r>
      <w:r w:rsidR="007738E8">
        <w:t xml:space="preserve"> (</w:t>
      </w:r>
      <w:proofErr w:type="spellStart"/>
      <w:r w:rsidR="007738E8">
        <w:t>Justino</w:t>
      </w:r>
      <w:proofErr w:type="spellEnd"/>
      <w:r w:rsidR="007738E8">
        <w:t>, 2011</w:t>
      </w:r>
      <w:r w:rsidR="00402026">
        <w:t xml:space="preserve">). </w:t>
      </w:r>
      <w:r w:rsidR="00F474F5">
        <w:t>Looking at the effect</w:t>
      </w:r>
      <w:r w:rsidR="00990FD3">
        <w:t xml:space="preserve"> on education</w:t>
      </w:r>
      <w:r w:rsidR="00080F44">
        <w:t>al attainment</w:t>
      </w:r>
      <w:r w:rsidR="00990FD3">
        <w:t xml:space="preserve">, </w:t>
      </w:r>
      <w:r w:rsidR="00B24D27">
        <w:t xml:space="preserve">a number of studies </w:t>
      </w:r>
      <w:r w:rsidR="00080F44">
        <w:t xml:space="preserve">over a range of settings </w:t>
      </w:r>
      <w:r w:rsidR="00B24D27">
        <w:t xml:space="preserve">provide evidence that </w:t>
      </w:r>
      <w:r w:rsidR="00990FD3">
        <w:t>children exposed to violence acquire few</w:t>
      </w:r>
      <w:r w:rsidR="00B24D27">
        <w:t>er</w:t>
      </w:r>
      <w:r w:rsidR="00990FD3">
        <w:t xml:space="preserve"> years of </w:t>
      </w:r>
      <w:r w:rsidR="00080F44">
        <w:t>school</w:t>
      </w:r>
      <w:r w:rsidR="00F474F5">
        <w:t>ing</w:t>
      </w:r>
      <w:r w:rsidR="00B24D27">
        <w:t xml:space="preserve"> (</w:t>
      </w:r>
      <w:proofErr w:type="spellStart"/>
      <w:r w:rsidR="008E6C7E">
        <w:t>Akresh</w:t>
      </w:r>
      <w:proofErr w:type="spellEnd"/>
      <w:r w:rsidR="008E6C7E">
        <w:t xml:space="preserve"> </w:t>
      </w:r>
      <w:r w:rsidR="00726DF7">
        <w:t xml:space="preserve">&amp; </w:t>
      </w:r>
      <w:r w:rsidR="008E6C7E">
        <w:t xml:space="preserve">de </w:t>
      </w:r>
      <w:proofErr w:type="spellStart"/>
      <w:r w:rsidR="008E6C7E">
        <w:t>Walque</w:t>
      </w:r>
      <w:proofErr w:type="spellEnd"/>
      <w:r w:rsidR="008E6C7E">
        <w:t xml:space="preserve">, 2008; </w:t>
      </w:r>
      <w:proofErr w:type="spellStart"/>
      <w:r w:rsidR="00080F44">
        <w:t>Swee</w:t>
      </w:r>
      <w:proofErr w:type="spellEnd"/>
      <w:r w:rsidR="00080F44">
        <w:t>, 2009</w:t>
      </w:r>
      <w:r w:rsidR="008E6C7E">
        <w:t>;</w:t>
      </w:r>
      <w:r w:rsidR="00AD593A" w:rsidRPr="00AD593A">
        <w:t xml:space="preserve"> </w:t>
      </w:r>
      <w:proofErr w:type="spellStart"/>
      <w:r w:rsidR="00AD593A">
        <w:t>Chamabargwala</w:t>
      </w:r>
      <w:proofErr w:type="spellEnd"/>
      <w:r w:rsidR="00AD593A">
        <w:t xml:space="preserve"> </w:t>
      </w:r>
      <w:r w:rsidR="00726DF7">
        <w:t xml:space="preserve">&amp; </w:t>
      </w:r>
      <w:r w:rsidR="00AD593A">
        <w:t>Moran, 2011;</w:t>
      </w:r>
      <w:r w:rsidR="008E6C7E">
        <w:t xml:space="preserve"> </w:t>
      </w:r>
      <w:proofErr w:type="spellStart"/>
      <w:r w:rsidR="00916712">
        <w:t>Shemyakina</w:t>
      </w:r>
      <w:proofErr w:type="spellEnd"/>
      <w:r w:rsidR="00916712">
        <w:t xml:space="preserve">, 2011; </w:t>
      </w:r>
      <w:r w:rsidR="008E6C7E">
        <w:t>Leon, 2012</w:t>
      </w:r>
      <w:r w:rsidR="00BF3B1E">
        <w:t xml:space="preserve">; </w:t>
      </w:r>
      <w:proofErr w:type="spellStart"/>
      <w:r w:rsidR="00BF3B1E">
        <w:t>Justino</w:t>
      </w:r>
      <w:proofErr w:type="spellEnd"/>
      <w:r w:rsidR="00345A99">
        <w:t xml:space="preserve"> et al.</w:t>
      </w:r>
      <w:r w:rsidR="00BF3B1E">
        <w:t>, 2013</w:t>
      </w:r>
      <w:r w:rsidR="00080F44">
        <w:t>)</w:t>
      </w:r>
      <w:r w:rsidR="00990FD3">
        <w:t xml:space="preserve">. </w:t>
      </w:r>
      <w:r w:rsidR="00080F44">
        <w:t>While not all are directly comparable given differences in context</w:t>
      </w:r>
      <w:r w:rsidR="00B75AB3">
        <w:t xml:space="preserve"> and empirical approach</w:t>
      </w:r>
      <w:r w:rsidR="00080F44">
        <w:t xml:space="preserve">, certain general findings seem to emerge including the disproportionate impact </w:t>
      </w:r>
      <w:r w:rsidR="009335F2">
        <w:t>on secondary schooling</w:t>
      </w:r>
      <w:r w:rsidR="00080F44">
        <w:t xml:space="preserve"> as well as differences based on gender</w:t>
      </w:r>
      <w:r w:rsidR="008E6C7E">
        <w:t xml:space="preserve">. </w:t>
      </w:r>
      <w:r w:rsidR="00BF3B1E">
        <w:t xml:space="preserve">Just as important, there are </w:t>
      </w:r>
      <w:r w:rsidR="00F474F5">
        <w:t xml:space="preserve">also </w:t>
      </w:r>
      <w:r w:rsidR="00BF3B1E">
        <w:t xml:space="preserve">those studies that </w:t>
      </w:r>
      <w:r w:rsidR="008E6C7E">
        <w:t>document the</w:t>
      </w:r>
      <w:r w:rsidR="00BF3B1E">
        <w:t xml:space="preserve"> </w:t>
      </w:r>
      <w:r w:rsidR="00B75AB3">
        <w:t xml:space="preserve">negative </w:t>
      </w:r>
      <w:r w:rsidR="00BF3B1E">
        <w:t>effect</w:t>
      </w:r>
      <w:r w:rsidR="008E6C7E">
        <w:t xml:space="preserve"> </w:t>
      </w:r>
      <w:r w:rsidR="00F8184D">
        <w:t xml:space="preserve">on </w:t>
      </w:r>
      <w:r w:rsidR="00B75AB3">
        <w:t xml:space="preserve">children’s </w:t>
      </w:r>
      <w:r w:rsidR="008E6C7E">
        <w:t>health outcomes (</w:t>
      </w:r>
      <w:r w:rsidR="00F30977">
        <w:t>Alder</w:t>
      </w:r>
      <w:r w:rsidR="00835AA5">
        <w:t>man et al., 2006;</w:t>
      </w:r>
      <w:r w:rsidR="00F8184D">
        <w:t xml:space="preserve"> </w:t>
      </w:r>
      <w:proofErr w:type="spellStart"/>
      <w:r w:rsidR="00BF3B1E">
        <w:t>Bundervoet</w:t>
      </w:r>
      <w:proofErr w:type="spellEnd"/>
      <w:r w:rsidR="00BF3B1E">
        <w:t xml:space="preserve"> et al., 200</w:t>
      </w:r>
      <w:r w:rsidR="00AD593A">
        <w:t>8</w:t>
      </w:r>
      <w:r w:rsidR="008E6C7E">
        <w:t xml:space="preserve">; </w:t>
      </w:r>
      <w:proofErr w:type="spellStart"/>
      <w:r w:rsidR="008E6C7E">
        <w:t>Akresh</w:t>
      </w:r>
      <w:proofErr w:type="spellEnd"/>
      <w:r w:rsidR="008E6C7E">
        <w:t xml:space="preserve"> et al., 20</w:t>
      </w:r>
      <w:r w:rsidR="00BF3B1E">
        <w:t>11</w:t>
      </w:r>
      <w:r w:rsidR="00F430E0">
        <w:t xml:space="preserve">; </w:t>
      </w:r>
      <w:proofErr w:type="spellStart"/>
      <w:r w:rsidR="00F430E0">
        <w:t>Minoiu</w:t>
      </w:r>
      <w:proofErr w:type="spellEnd"/>
      <w:r w:rsidR="00F430E0">
        <w:t xml:space="preserve"> </w:t>
      </w:r>
      <w:r w:rsidR="00726DF7">
        <w:t xml:space="preserve">&amp; </w:t>
      </w:r>
      <w:proofErr w:type="spellStart"/>
      <w:r w:rsidR="00F430E0">
        <w:t>Shemyakina</w:t>
      </w:r>
      <w:proofErr w:type="spellEnd"/>
      <w:r w:rsidR="00F430E0">
        <w:t>, 201</w:t>
      </w:r>
      <w:r w:rsidR="00684A19">
        <w:t>4</w:t>
      </w:r>
      <w:r w:rsidR="00BF3B1E">
        <w:t>).</w:t>
      </w:r>
      <w:r w:rsidR="008E6C7E">
        <w:t xml:space="preserve"> </w:t>
      </w:r>
      <w:r w:rsidR="00402026">
        <w:t>I</w:t>
      </w:r>
      <w:r w:rsidR="00835AA5">
        <w:t>n general</w:t>
      </w:r>
      <w:r w:rsidR="00402026">
        <w:t xml:space="preserve">, they </w:t>
      </w:r>
      <w:r w:rsidR="00835AA5">
        <w:t>provide</w:t>
      </w:r>
      <w:r>
        <w:t xml:space="preserve"> </w:t>
      </w:r>
      <w:r w:rsidR="00835AA5">
        <w:t xml:space="preserve">evidence </w:t>
      </w:r>
      <w:r w:rsidR="00B75AB3">
        <w:t xml:space="preserve">that exposure to fighting results in worse </w:t>
      </w:r>
      <w:r w:rsidR="00835AA5">
        <w:t xml:space="preserve">nutrition </w:t>
      </w:r>
      <w:r w:rsidR="00B75AB3">
        <w:t xml:space="preserve">as well as a lower </w:t>
      </w:r>
      <w:r w:rsidR="00CB7107">
        <w:t>height-for-age</w:t>
      </w:r>
      <w:r w:rsidR="00835AA5">
        <w:t xml:space="preserve">. </w:t>
      </w:r>
      <w:r w:rsidR="00E72699">
        <w:t>While</w:t>
      </w:r>
      <w:r w:rsidR="009335F2">
        <w:t xml:space="preserve"> </w:t>
      </w:r>
      <w:r w:rsidR="003E30E8">
        <w:t xml:space="preserve">there appears to be </w:t>
      </w:r>
      <w:r w:rsidR="009335F2">
        <w:t xml:space="preserve">clear </w:t>
      </w:r>
      <w:r w:rsidR="00F474F5">
        <w:t xml:space="preserve">indication </w:t>
      </w:r>
      <w:r w:rsidR="009335F2">
        <w:t>regarding the</w:t>
      </w:r>
      <w:r w:rsidR="003E30E8">
        <w:t xml:space="preserve"> negative</w:t>
      </w:r>
      <w:r w:rsidR="009335F2">
        <w:t xml:space="preserve"> </w:t>
      </w:r>
      <w:r w:rsidR="00456898">
        <w:t xml:space="preserve">consequences </w:t>
      </w:r>
      <w:r w:rsidR="009C1716">
        <w:t xml:space="preserve">of </w:t>
      </w:r>
      <w:r>
        <w:t xml:space="preserve">armed </w:t>
      </w:r>
      <w:r w:rsidR="009335F2">
        <w:t xml:space="preserve">conflict </w:t>
      </w:r>
      <w:r w:rsidR="00456898">
        <w:t xml:space="preserve">for </w:t>
      </w:r>
      <w:r w:rsidR="009335F2">
        <w:t xml:space="preserve">those factors related to human capital </w:t>
      </w:r>
      <w:r w:rsidR="00F474F5">
        <w:t>accumulation</w:t>
      </w:r>
      <w:r w:rsidR="00E72699">
        <w:t xml:space="preserve">, </w:t>
      </w:r>
      <w:r w:rsidR="00456898">
        <w:t xml:space="preserve">the </w:t>
      </w:r>
      <w:r w:rsidR="009335F2">
        <w:t>mechanism through which this effect takes place</w:t>
      </w:r>
      <w:r w:rsidR="009C1716">
        <w:t xml:space="preserve"> is not </w:t>
      </w:r>
      <w:r w:rsidR="00B75AB3">
        <w:t>so clear</w:t>
      </w:r>
      <w:r w:rsidR="009335F2">
        <w:t>.</w:t>
      </w:r>
    </w:p>
    <w:p w:rsidR="000C1C4A" w:rsidRDefault="000C1C4A" w:rsidP="009F6424">
      <w:pPr>
        <w:spacing w:line="480" w:lineRule="auto"/>
        <w:jc w:val="both"/>
      </w:pPr>
    </w:p>
    <w:p w:rsidR="00735AD9" w:rsidRDefault="003E30E8" w:rsidP="00735AD9">
      <w:pPr>
        <w:spacing w:line="480" w:lineRule="auto"/>
        <w:jc w:val="both"/>
      </w:pPr>
      <w:r>
        <w:t xml:space="preserve">Clearly many families confronted with violence in their </w:t>
      </w:r>
      <w:r w:rsidR="00220AF9">
        <w:t>communities</w:t>
      </w:r>
      <w:r>
        <w:t xml:space="preserve"> respond by fleeing for safety. </w:t>
      </w:r>
      <w:r w:rsidR="001F3877">
        <w:t>D</w:t>
      </w:r>
      <w:r w:rsidR="00A736C2">
        <w:t>isplacement</w:t>
      </w:r>
      <w:r w:rsidR="009344AA">
        <w:t>,</w:t>
      </w:r>
      <w:r w:rsidR="00A736C2">
        <w:t xml:space="preserve"> </w:t>
      </w:r>
      <w:r w:rsidR="00CB7107">
        <w:t>therefore</w:t>
      </w:r>
      <w:r w:rsidR="009344AA">
        <w:t>,</w:t>
      </w:r>
      <w:r w:rsidR="00CB7107">
        <w:t xml:space="preserve"> </w:t>
      </w:r>
      <w:r w:rsidR="00456898">
        <w:t>is one potential</w:t>
      </w:r>
      <w:r w:rsidR="00CB7107">
        <w:t xml:space="preserve"> channel through which violent conflict </w:t>
      </w:r>
      <w:r w:rsidR="00456898">
        <w:t>has an influence on</w:t>
      </w:r>
      <w:r w:rsidR="009344AA">
        <w:t xml:space="preserve"> a household’s well-being</w:t>
      </w:r>
      <w:r w:rsidR="006D1466">
        <w:t xml:space="preserve"> and </w:t>
      </w:r>
      <w:r w:rsidR="00456898">
        <w:t>human capital</w:t>
      </w:r>
      <w:r w:rsidR="004B6FDA">
        <w:t xml:space="preserve"> accumulation</w:t>
      </w:r>
      <w:r w:rsidR="00163BCB">
        <w:t xml:space="preserve"> (</w:t>
      </w:r>
      <w:proofErr w:type="spellStart"/>
      <w:r w:rsidR="00220AF9">
        <w:t>Justino</w:t>
      </w:r>
      <w:proofErr w:type="spellEnd"/>
      <w:r w:rsidR="00220AF9">
        <w:t>, 2011</w:t>
      </w:r>
      <w:r w:rsidR="00163BCB">
        <w:t>)</w:t>
      </w:r>
      <w:r w:rsidR="00CB7107">
        <w:t>.</w:t>
      </w:r>
      <w:r w:rsidR="00456898">
        <w:t xml:space="preserve"> </w:t>
      </w:r>
      <w:r w:rsidR="009344AA">
        <w:t>Empirical r</w:t>
      </w:r>
      <w:r w:rsidR="000E537A">
        <w:t xml:space="preserve">esearch </w:t>
      </w:r>
      <w:r w:rsidR="00877F56">
        <w:t>looking into</w:t>
      </w:r>
      <w:r w:rsidR="000E537A">
        <w:t xml:space="preserve"> </w:t>
      </w:r>
      <w:r w:rsidR="002478CA">
        <w:t xml:space="preserve">the </w:t>
      </w:r>
      <w:r w:rsidR="000E537A">
        <w:t xml:space="preserve">economic consequences </w:t>
      </w:r>
      <w:r w:rsidR="002478CA">
        <w:t xml:space="preserve">of </w:t>
      </w:r>
      <w:r w:rsidR="00A736C2">
        <w:t>forced migration</w:t>
      </w:r>
      <w:r w:rsidR="009344AA">
        <w:t>, including those regarding the impact on education and health,</w:t>
      </w:r>
      <w:r w:rsidR="00A736C2">
        <w:t xml:space="preserve"> </w:t>
      </w:r>
      <w:r w:rsidR="00877F56">
        <w:t>is</w:t>
      </w:r>
      <w:r w:rsidR="000E537A">
        <w:t xml:space="preserve"> relatively </w:t>
      </w:r>
      <w:r w:rsidR="004B6FDA">
        <w:t>new</w:t>
      </w:r>
      <w:r w:rsidR="000E537A">
        <w:t xml:space="preserve"> with most</w:t>
      </w:r>
      <w:r w:rsidR="00877F56">
        <w:t xml:space="preserve"> studies emerging with</w:t>
      </w:r>
      <w:r w:rsidR="000E537A">
        <w:t>in the last five years (</w:t>
      </w:r>
      <w:r w:rsidR="00877F56">
        <w:t xml:space="preserve">see </w:t>
      </w:r>
      <w:r w:rsidR="00A775DE">
        <w:t xml:space="preserve">Ruiz </w:t>
      </w:r>
      <w:r w:rsidR="00726DF7">
        <w:t xml:space="preserve">&amp; </w:t>
      </w:r>
      <w:r w:rsidR="00A775DE">
        <w:t>Vargas-Silva</w:t>
      </w:r>
      <w:r w:rsidR="000E537A">
        <w:t>, 2013</w:t>
      </w:r>
      <w:r w:rsidR="00877F56">
        <w:t xml:space="preserve"> for a review</w:t>
      </w:r>
      <w:r w:rsidR="000E537A">
        <w:t>).</w:t>
      </w:r>
      <w:r w:rsidR="006A22A3">
        <w:t xml:space="preserve"> </w:t>
      </w:r>
      <w:proofErr w:type="spellStart"/>
      <w:r w:rsidR="000E7708">
        <w:t>Oyelere</w:t>
      </w:r>
      <w:proofErr w:type="spellEnd"/>
      <w:r w:rsidR="000E7708">
        <w:t xml:space="preserve"> and Wharton (2013)</w:t>
      </w:r>
      <w:r w:rsidR="00A0511C">
        <w:t>, for example,</w:t>
      </w:r>
      <w:r w:rsidR="000E7708">
        <w:t xml:space="preserve"> </w:t>
      </w:r>
      <w:r w:rsidR="00735AD9">
        <w:t xml:space="preserve">attempt to establish causal evidence for </w:t>
      </w:r>
      <w:r w:rsidR="000E7708">
        <w:t xml:space="preserve">the effect of conflict on education accumulation and enrollment gaps for children of internally displaced families in Colombia. </w:t>
      </w:r>
      <w:r w:rsidR="004B6FDA">
        <w:t xml:space="preserve">After applying various econometric techniques in order to minimize any potential omitted variable and selection bias, their results </w:t>
      </w:r>
      <w:r w:rsidR="000E7708">
        <w:t xml:space="preserve">indicate a significant education accumulation gap as well as a lower rate of enrollment at the secondary level for internally displaced </w:t>
      </w:r>
      <w:r w:rsidR="004B6FDA">
        <w:t>households</w:t>
      </w:r>
      <w:r w:rsidR="000E7708">
        <w:t xml:space="preserve">. </w:t>
      </w:r>
      <w:r w:rsidR="00A0511C">
        <w:t xml:space="preserve">In the case of Burundi, </w:t>
      </w:r>
      <w:proofErr w:type="spellStart"/>
      <w:r w:rsidR="00A0511C">
        <w:t>Verwimp</w:t>
      </w:r>
      <w:proofErr w:type="spellEnd"/>
      <w:r w:rsidR="00A0511C">
        <w:t xml:space="preserve"> and Van </w:t>
      </w:r>
      <w:proofErr w:type="spellStart"/>
      <w:r w:rsidR="00A0511C">
        <w:t>Bavel</w:t>
      </w:r>
      <w:proofErr w:type="spellEnd"/>
      <w:r w:rsidR="00A0511C">
        <w:t xml:space="preserve"> (2013) similarly find that the frequency of displacement leads to a decrease in the probability of completing primary school for both boys and girls. Looking at forced displacement in </w:t>
      </w:r>
      <w:r w:rsidR="009B1A02">
        <w:t xml:space="preserve">northern Uganda, </w:t>
      </w:r>
      <w:proofErr w:type="spellStart"/>
      <w:r w:rsidR="00A0511C">
        <w:t>Fiala</w:t>
      </w:r>
      <w:proofErr w:type="spellEnd"/>
      <w:r w:rsidR="00A0511C">
        <w:t xml:space="preserve"> (2012) finds</w:t>
      </w:r>
      <w:r w:rsidR="009B1A02">
        <w:t xml:space="preserve"> </w:t>
      </w:r>
      <w:r w:rsidR="00A0511C">
        <w:t xml:space="preserve">that </w:t>
      </w:r>
      <w:r w:rsidR="009344AA">
        <w:t>more affluent</w:t>
      </w:r>
      <w:r w:rsidR="00F537E5">
        <w:t xml:space="preserve"> </w:t>
      </w:r>
      <w:r w:rsidR="00AB6464">
        <w:t>displaced households have significan</w:t>
      </w:r>
      <w:r w:rsidR="00F537E5">
        <w:t>tly less educational attainment</w:t>
      </w:r>
      <w:r w:rsidR="00AB6464">
        <w:t xml:space="preserve"> </w:t>
      </w:r>
      <w:r w:rsidR="00F537E5">
        <w:t>which suggests</w:t>
      </w:r>
      <w:r w:rsidR="00AB6464">
        <w:t xml:space="preserve"> a strategic shift of human to physical capital investment. Alternatively, Eder (2013) uses </w:t>
      </w:r>
      <w:r w:rsidR="00743020">
        <w:t xml:space="preserve">ethnic divisions during </w:t>
      </w:r>
      <w:r w:rsidR="00AB6464">
        <w:t xml:space="preserve">the Bosnian War as a natural experiment to determine </w:t>
      </w:r>
      <w:r w:rsidR="00F537E5">
        <w:t xml:space="preserve">the </w:t>
      </w:r>
      <w:r w:rsidR="00AB6464">
        <w:t>education</w:t>
      </w:r>
      <w:r w:rsidR="00F537E5">
        <w:t>al outcomes of children</w:t>
      </w:r>
      <w:r w:rsidR="00AB6464">
        <w:t xml:space="preserve"> of</w:t>
      </w:r>
      <w:r w:rsidR="00F537E5">
        <w:t xml:space="preserve"> </w:t>
      </w:r>
      <w:r w:rsidR="00AB6464">
        <w:t xml:space="preserve">displaced parents. </w:t>
      </w:r>
      <w:r w:rsidR="00F537E5">
        <w:t xml:space="preserve">Even though </w:t>
      </w:r>
      <w:r w:rsidR="00743020">
        <w:t xml:space="preserve">no </w:t>
      </w:r>
      <w:r w:rsidR="00F537E5">
        <w:t xml:space="preserve">significant </w:t>
      </w:r>
      <w:r w:rsidR="00743020">
        <w:t xml:space="preserve">difference </w:t>
      </w:r>
      <w:r w:rsidR="00F537E5">
        <w:t xml:space="preserve">in </w:t>
      </w:r>
      <w:r w:rsidR="00743020">
        <w:t>school enrollment</w:t>
      </w:r>
      <w:r w:rsidR="00F537E5">
        <w:t xml:space="preserve"> is found</w:t>
      </w:r>
      <w:r w:rsidR="00743020">
        <w:t xml:space="preserve">, displaced households are shown to spend significantly less on their child’s education at both the primary and secondary level. </w:t>
      </w:r>
      <w:r w:rsidR="00735AD9">
        <w:t>W</w:t>
      </w:r>
      <w:r w:rsidR="002F076D">
        <w:t xml:space="preserve">hen it comes to health, </w:t>
      </w:r>
      <w:proofErr w:type="spellStart"/>
      <w:r w:rsidR="002F076D">
        <w:t>Fiala</w:t>
      </w:r>
      <w:proofErr w:type="spellEnd"/>
      <w:r w:rsidR="002F076D">
        <w:t xml:space="preserve"> (2009)</w:t>
      </w:r>
      <w:r w:rsidR="00CB4F99">
        <w:t>,</w:t>
      </w:r>
      <w:r w:rsidR="002F076D">
        <w:t xml:space="preserve"> again in the case of northern Uganda</w:t>
      </w:r>
      <w:r w:rsidR="00CB4F99">
        <w:t xml:space="preserve">, </w:t>
      </w:r>
      <w:r w:rsidR="002F076D">
        <w:t>show</w:t>
      </w:r>
      <w:r w:rsidR="00735AD9">
        <w:t>s</w:t>
      </w:r>
      <w:r w:rsidR="00CB4F99">
        <w:t xml:space="preserve"> that displacement is </w:t>
      </w:r>
      <w:r w:rsidR="002F076D">
        <w:t>associated with a significant decrease in the consumption of meat</w:t>
      </w:r>
      <w:r w:rsidR="00CB4F99">
        <w:t xml:space="preserve">, an indicator of dietary diversity and </w:t>
      </w:r>
      <w:r w:rsidR="003B21A0">
        <w:t>nutrition</w:t>
      </w:r>
      <w:r w:rsidR="00735AD9">
        <w:t xml:space="preserve"> in general</w:t>
      </w:r>
      <w:r w:rsidR="002F076D">
        <w:t>.</w:t>
      </w:r>
    </w:p>
    <w:p w:rsidR="00735AD9" w:rsidRDefault="00735AD9" w:rsidP="009F6424">
      <w:pPr>
        <w:spacing w:line="480" w:lineRule="auto"/>
        <w:jc w:val="both"/>
      </w:pPr>
    </w:p>
    <w:p w:rsidR="00456898" w:rsidRDefault="00C13F15" w:rsidP="009F6424">
      <w:pPr>
        <w:spacing w:line="480" w:lineRule="auto"/>
        <w:jc w:val="both"/>
      </w:pPr>
      <w:r>
        <w:t xml:space="preserve">Taken </w:t>
      </w:r>
      <w:r w:rsidR="009344AA">
        <w:t>al</w:t>
      </w:r>
      <w:r>
        <w:t>together</w:t>
      </w:r>
      <w:r w:rsidR="00024ABE">
        <w:t>,</w:t>
      </w:r>
      <w:r>
        <w:t xml:space="preserve"> the literature pertaining to the consequences of violent conflict and internal displacement </w:t>
      </w:r>
      <w:r w:rsidR="00735AD9">
        <w:t xml:space="preserve">unsurprisingly </w:t>
      </w:r>
      <w:r w:rsidR="00A10BBF">
        <w:t xml:space="preserve">indicates </w:t>
      </w:r>
      <w:r w:rsidR="00CB4F99">
        <w:t xml:space="preserve">a generally negative impact on those factors related to human capital accumulation for the civilian population. </w:t>
      </w:r>
      <w:r w:rsidR="004B5098">
        <w:t xml:space="preserve">While the micro-level effect is </w:t>
      </w:r>
      <w:r w:rsidR="00735AD9">
        <w:t xml:space="preserve">detrimental </w:t>
      </w:r>
      <w:r w:rsidR="004B5098">
        <w:t>for individual and household welfare</w:t>
      </w:r>
      <w:r w:rsidR="00CE629D">
        <w:t xml:space="preserve"> for years to come</w:t>
      </w:r>
      <w:r w:rsidR="004B5098">
        <w:t xml:space="preserve">, it also has </w:t>
      </w:r>
      <w:r w:rsidR="00CB4F99">
        <w:t xml:space="preserve">severe implications </w:t>
      </w:r>
      <w:r w:rsidR="004B5098">
        <w:t xml:space="preserve">at the macro-level via productivity </w:t>
      </w:r>
      <w:r w:rsidR="00CE629D">
        <w:t xml:space="preserve">loss </w:t>
      </w:r>
      <w:r w:rsidR="004B5098">
        <w:t xml:space="preserve">and as a consequence </w:t>
      </w:r>
      <w:r w:rsidR="00CE629D">
        <w:t xml:space="preserve">stalled </w:t>
      </w:r>
      <w:r w:rsidR="004B5098">
        <w:t>economic growth. With this in mind, we now turn towards the specific case of Afghanistan where</w:t>
      </w:r>
      <w:r w:rsidR="009D2515">
        <w:t>,</w:t>
      </w:r>
      <w:r w:rsidR="004B5098">
        <w:t xml:space="preserve"> despite clear relevance</w:t>
      </w:r>
      <w:r w:rsidR="009D2515">
        <w:t>,</w:t>
      </w:r>
      <w:r w:rsidR="004B5098">
        <w:t xml:space="preserve"> </w:t>
      </w:r>
      <w:r w:rsidR="009344AA">
        <w:t xml:space="preserve">to the best of our knowledge </w:t>
      </w:r>
      <w:r w:rsidR="004B5098">
        <w:t>no similar inquiry has been considered.</w:t>
      </w:r>
    </w:p>
    <w:p w:rsidR="00893BBF" w:rsidRDefault="00893BBF" w:rsidP="009F6424">
      <w:pPr>
        <w:spacing w:line="480" w:lineRule="auto"/>
        <w:jc w:val="both"/>
      </w:pPr>
    </w:p>
    <w:p w:rsidR="00735BB9" w:rsidRDefault="00735BB9" w:rsidP="009F6424">
      <w:pPr>
        <w:pStyle w:val="ListParagraph"/>
        <w:numPr>
          <w:ilvl w:val="0"/>
          <w:numId w:val="2"/>
        </w:numPr>
        <w:spacing w:after="200" w:line="480" w:lineRule="auto"/>
        <w:ind w:left="360"/>
        <w:contextualSpacing w:val="0"/>
        <w:jc w:val="both"/>
        <w:rPr>
          <w:b/>
          <w:sz w:val="28"/>
        </w:rPr>
      </w:pPr>
      <w:r>
        <w:rPr>
          <w:b/>
          <w:sz w:val="28"/>
        </w:rPr>
        <w:t>Background: Internal Displacement in Afghanistan</w:t>
      </w:r>
    </w:p>
    <w:p w:rsidR="006955F9" w:rsidRDefault="0060617F" w:rsidP="009F6424">
      <w:pPr>
        <w:spacing w:line="480" w:lineRule="auto"/>
        <w:jc w:val="both"/>
      </w:pPr>
      <w:r>
        <w:t xml:space="preserve">After three and a half decades of armed conflict </w:t>
      </w:r>
      <w:r w:rsidR="004E4F66">
        <w:t xml:space="preserve">and instability </w:t>
      </w:r>
      <w:r>
        <w:t xml:space="preserve">in Afghanistan, large swaths of </w:t>
      </w:r>
      <w:r w:rsidR="00155033">
        <w:t>the population</w:t>
      </w:r>
      <w:r w:rsidR="004E4F66">
        <w:t>, three-fourths by some accounts (ICRC, 2009),</w:t>
      </w:r>
      <w:r>
        <w:t xml:space="preserve"> have </w:t>
      </w:r>
      <w:r w:rsidR="004E4F66">
        <w:t xml:space="preserve">at one time or another been forced into displacement. </w:t>
      </w:r>
      <w:r w:rsidR="00BE09A6">
        <w:t>As such,</w:t>
      </w:r>
      <w:r w:rsidR="004E4F66">
        <w:t xml:space="preserve"> migration </w:t>
      </w:r>
      <w:r w:rsidR="00BE09A6">
        <w:t>is seen as a</w:t>
      </w:r>
      <w:r w:rsidR="004E4F66">
        <w:t xml:space="preserve"> fact </w:t>
      </w:r>
      <w:r w:rsidR="002D4D39">
        <w:t xml:space="preserve">of </w:t>
      </w:r>
      <w:r w:rsidR="004E4F66">
        <w:t>life</w:t>
      </w:r>
      <w:r w:rsidR="002D4D39">
        <w:t xml:space="preserve"> for many Afghan households, using </w:t>
      </w:r>
      <w:r w:rsidR="00BE09A6">
        <w:t>it</w:t>
      </w:r>
      <w:r w:rsidR="002D4D39">
        <w:t xml:space="preserve"> as a coping mechanism “ex-post” </w:t>
      </w:r>
      <w:r w:rsidR="00BE09A6">
        <w:t xml:space="preserve">in light </w:t>
      </w:r>
      <w:r w:rsidR="002D4D39">
        <w:t>of conflict (World Bank, 2011)</w:t>
      </w:r>
      <w:r w:rsidR="004E4F66">
        <w:t>.</w:t>
      </w:r>
      <w:r>
        <w:t xml:space="preserve"> </w:t>
      </w:r>
      <w:r w:rsidR="00BE09A6">
        <w:t xml:space="preserve">While involuntary flows </w:t>
      </w:r>
      <w:r w:rsidR="00BE09A6" w:rsidRPr="009F6424">
        <w:t>outside</w:t>
      </w:r>
      <w:r w:rsidR="00BE09A6">
        <w:t xml:space="preserve"> the country, mainly to neighboring Pakistan and Iran, </w:t>
      </w:r>
      <w:r w:rsidR="006955F9">
        <w:t xml:space="preserve">have </w:t>
      </w:r>
      <w:r w:rsidR="00BE09A6">
        <w:t xml:space="preserve">been </w:t>
      </w:r>
      <w:r w:rsidR="006955F9">
        <w:t xml:space="preserve">well documented </w:t>
      </w:r>
      <w:r w:rsidR="00BE09A6">
        <w:t xml:space="preserve">since </w:t>
      </w:r>
      <w:r w:rsidR="006955F9">
        <w:t xml:space="preserve">the present period of </w:t>
      </w:r>
      <w:r w:rsidR="00BE09A6">
        <w:t xml:space="preserve">conflict erupted in 1978, involuntary flows </w:t>
      </w:r>
      <w:r w:rsidR="00BE09A6" w:rsidRPr="009F6424">
        <w:t>within</w:t>
      </w:r>
      <w:r w:rsidR="00BE09A6">
        <w:t xml:space="preserve"> the country have </w:t>
      </w:r>
      <w:r w:rsidR="006955F9">
        <w:t>only</w:t>
      </w:r>
      <w:r w:rsidR="001F3877">
        <w:t xml:space="preserve"> more</w:t>
      </w:r>
      <w:r w:rsidR="006955F9">
        <w:t xml:space="preserve"> recently been brought to light as a key concern</w:t>
      </w:r>
      <w:r w:rsidR="00BE09A6">
        <w:t>.</w:t>
      </w:r>
    </w:p>
    <w:p w:rsidR="00E4675E" w:rsidRDefault="00E4675E" w:rsidP="009F6424">
      <w:pPr>
        <w:spacing w:line="480" w:lineRule="auto"/>
        <w:jc w:val="both"/>
      </w:pPr>
    </w:p>
    <w:p w:rsidR="005E2426" w:rsidRDefault="00E4675E" w:rsidP="009F6424">
      <w:pPr>
        <w:spacing w:line="480" w:lineRule="auto"/>
        <w:jc w:val="both"/>
      </w:pPr>
      <w:r>
        <w:t>Similar to forced migration abroad, t</w:t>
      </w:r>
      <w:r w:rsidR="006955F9">
        <w:t xml:space="preserve">he main periods of internal displacement </w:t>
      </w:r>
      <w:r w:rsidR="00FE22E0">
        <w:t xml:space="preserve">predominately </w:t>
      </w:r>
      <w:r w:rsidR="006B2F93">
        <w:t xml:space="preserve">reflect </w:t>
      </w:r>
      <w:r w:rsidR="00D327FF">
        <w:t>the level of conflict during that time</w:t>
      </w:r>
      <w:r w:rsidR="006955F9">
        <w:t>. The first</w:t>
      </w:r>
      <w:r w:rsidR="00D327FF">
        <w:t xml:space="preserve"> period </w:t>
      </w:r>
      <w:r w:rsidR="006B2F93">
        <w:t xml:space="preserve">can be thought to have </w:t>
      </w:r>
      <w:r>
        <w:t xml:space="preserve">covered </w:t>
      </w:r>
      <w:r w:rsidR="00D327FF">
        <w:t>much of the 1980s</w:t>
      </w:r>
      <w:r>
        <w:t xml:space="preserve"> </w:t>
      </w:r>
      <w:r w:rsidR="006B2F93">
        <w:t xml:space="preserve">in </w:t>
      </w:r>
      <w:r w:rsidR="00FE22E0">
        <w:t xml:space="preserve">response to </w:t>
      </w:r>
      <w:r w:rsidR="006955F9">
        <w:t>the Soviet invasion</w:t>
      </w:r>
      <w:r w:rsidR="00D327FF">
        <w:t>,</w:t>
      </w:r>
      <w:r w:rsidR="006955F9">
        <w:t xml:space="preserve"> </w:t>
      </w:r>
      <w:r>
        <w:t xml:space="preserve">and </w:t>
      </w:r>
      <w:r w:rsidR="006955F9">
        <w:t xml:space="preserve">saw </w:t>
      </w:r>
      <w:r w:rsidR="00D327FF">
        <w:t xml:space="preserve">by some estimates two million individuals fleeing their homes </w:t>
      </w:r>
      <w:r>
        <w:t>for other communities within the country</w:t>
      </w:r>
      <w:r w:rsidR="006B2F93">
        <w:t>’s borders</w:t>
      </w:r>
      <w:r>
        <w:t xml:space="preserve"> </w:t>
      </w:r>
      <w:r w:rsidR="00D327FF">
        <w:t xml:space="preserve">(Kuschminder </w:t>
      </w:r>
      <w:r w:rsidR="00726DF7">
        <w:t xml:space="preserve">&amp; </w:t>
      </w:r>
      <w:r w:rsidR="00D327FF">
        <w:t xml:space="preserve">Dora, 2009). </w:t>
      </w:r>
      <w:r>
        <w:t xml:space="preserve">By the time of the Soviet retreat towards the end of the decade, </w:t>
      </w:r>
      <w:r>
        <w:lastRenderedPageBreak/>
        <w:t xml:space="preserve">flows overall began to subside, yet the respite in </w:t>
      </w:r>
      <w:r w:rsidR="006B2F93">
        <w:t xml:space="preserve">violence </w:t>
      </w:r>
      <w:r>
        <w:t xml:space="preserve">was short-lived as various </w:t>
      </w:r>
      <w:r w:rsidR="003219D5" w:rsidRPr="003219D5">
        <w:t>mujahedeen</w:t>
      </w:r>
      <w:r>
        <w:t xml:space="preserve"> factions began infighting </w:t>
      </w:r>
      <w:r w:rsidR="00FE22E0">
        <w:t xml:space="preserve">in an effort to fill </w:t>
      </w:r>
      <w:r>
        <w:t xml:space="preserve">the power vacuum left by the </w:t>
      </w:r>
      <w:r w:rsidR="006B2F93">
        <w:t xml:space="preserve">communist </w:t>
      </w:r>
      <w:r>
        <w:t xml:space="preserve">regime’s fall in 1992. </w:t>
      </w:r>
      <w:r w:rsidR="006B2F93">
        <w:t xml:space="preserve">Between </w:t>
      </w:r>
      <w:r w:rsidR="00FE22E0">
        <w:t xml:space="preserve">then </w:t>
      </w:r>
      <w:r>
        <w:t xml:space="preserve">and </w:t>
      </w:r>
      <w:r w:rsidR="00AB5995">
        <w:t>2001</w:t>
      </w:r>
      <w:r>
        <w:t xml:space="preserve">, the number of internally displaced </w:t>
      </w:r>
      <w:r w:rsidR="00AB5995">
        <w:t xml:space="preserve">oscillated </w:t>
      </w:r>
      <w:r w:rsidR="001F2890">
        <w:t>around one</w:t>
      </w:r>
      <w:r w:rsidR="00AB5995">
        <w:t xml:space="preserve"> million depending on the level of </w:t>
      </w:r>
      <w:r w:rsidR="006B2F93">
        <w:t xml:space="preserve">conflict either between these various groups </w:t>
      </w:r>
      <w:r w:rsidR="001F2890">
        <w:t>in the early part of the decade</w:t>
      </w:r>
      <w:r w:rsidR="00AB5995">
        <w:t xml:space="preserve">, or </w:t>
      </w:r>
      <w:r w:rsidR="006B2F93">
        <w:t xml:space="preserve">between </w:t>
      </w:r>
      <w:r w:rsidR="00AB5995">
        <w:t xml:space="preserve">the </w:t>
      </w:r>
      <w:r w:rsidR="001F2890">
        <w:t xml:space="preserve">emerging </w:t>
      </w:r>
      <w:r w:rsidR="00AB5995">
        <w:t xml:space="preserve">Taliban </w:t>
      </w:r>
      <w:r w:rsidR="006B2F93">
        <w:t xml:space="preserve">and </w:t>
      </w:r>
      <w:r w:rsidR="001F2890">
        <w:t>rebel groups in the North</w:t>
      </w:r>
      <w:r w:rsidR="006B2F93">
        <w:t xml:space="preserve"> towards the end. A </w:t>
      </w:r>
      <w:r w:rsidR="001F2890">
        <w:t xml:space="preserve">severe drought </w:t>
      </w:r>
      <w:r w:rsidR="006B2F93">
        <w:t>over much of the Central and Western regions of the country in 2000 also pushed many away from their rural homelands in search of other livelihood activities outside of farming</w:t>
      </w:r>
      <w:r w:rsidR="0091240A">
        <w:t xml:space="preserve"> (</w:t>
      </w:r>
      <w:proofErr w:type="spellStart"/>
      <w:r w:rsidR="0091240A">
        <w:t>Schmiedl</w:t>
      </w:r>
      <w:proofErr w:type="spellEnd"/>
      <w:r w:rsidR="0091240A">
        <w:t xml:space="preserve"> et al., 2010</w:t>
      </w:r>
      <w:r w:rsidR="00237F27">
        <w:t>)</w:t>
      </w:r>
      <w:r w:rsidR="001F2890">
        <w:t xml:space="preserve">. </w:t>
      </w:r>
    </w:p>
    <w:p w:rsidR="00F56661" w:rsidRDefault="00F56661" w:rsidP="009F6424">
      <w:pPr>
        <w:spacing w:line="480" w:lineRule="auto"/>
        <w:jc w:val="both"/>
      </w:pPr>
    </w:p>
    <w:p w:rsidR="003219D5" w:rsidRDefault="00FE22E0" w:rsidP="009F6424">
      <w:pPr>
        <w:spacing w:line="480" w:lineRule="auto"/>
        <w:jc w:val="both"/>
      </w:pPr>
      <w:r>
        <w:t>By the time of the US-led invasion in 2001</w:t>
      </w:r>
      <w:r w:rsidR="001F3877">
        <w:t>,</w:t>
      </w:r>
      <w:r>
        <w:t xml:space="preserve"> in the wake of the 9/11 attacks, the number of internally displaced individuals had reached a height of 1.2 million as some proactively left in anticipation of military intervention (see Figure 1). On the other hand, many also fell victim to anti-Pashtun violence and revenge or opportunistic attacks, regardless of whether they were aligned with the Talib</w:t>
      </w:r>
      <w:r w:rsidR="001F3877">
        <w:t xml:space="preserve">an regime in the years prior </w:t>
      </w:r>
      <w:r>
        <w:t xml:space="preserve">(id.). Following this initial phase of heightened instability after the Taliban’s ouster, the arrival of the international community </w:t>
      </w:r>
      <w:r w:rsidR="001F3877">
        <w:t>and</w:t>
      </w:r>
      <w:r>
        <w:t xml:space="preserve"> a massive assisted repatriation scheme by UNHCR provided many of those displaced individuals, both internally and abroad, an opportunity to return. </w:t>
      </w:r>
    </w:p>
    <w:p w:rsidR="00E762A3" w:rsidRDefault="00E762A3" w:rsidP="009F6424">
      <w:pPr>
        <w:spacing w:line="480" w:lineRule="auto"/>
        <w:jc w:val="both"/>
      </w:pPr>
    </w:p>
    <w:p w:rsidR="00CE629D" w:rsidRDefault="00CE629D" w:rsidP="00CE629D">
      <w:pPr>
        <w:spacing w:line="480" w:lineRule="auto"/>
        <w:jc w:val="both"/>
      </w:pPr>
      <w:r>
        <w:t xml:space="preserve">By the end of 2006, the number of internally displaced had dropped to its lowest level since before conflict began, at 129,000. Since then however, a renewed insurgency along with a general deterioration of the security situation in various parts of the country has not only made it difficult for those remaining individuals to return, it also has led to further displacement up until present day. In particular, the recent disorderly handover of presidential power through elections, </w:t>
      </w:r>
      <w:r>
        <w:lastRenderedPageBreak/>
        <w:t xml:space="preserve">as well as the ongoing </w:t>
      </w:r>
      <w:r w:rsidR="00701580">
        <w:t>reduction</w:t>
      </w:r>
      <w:r>
        <w:t xml:space="preserve"> of western military forces, has left much of the population nervous about what the future holds. With memories of the fighting fresh in the collective consciousness, many individuals and whole households are not only making contingency plans but already picking up and leaving once again in anticipation of renewed conflict. The most up-to-date figures for the end of the 2013 show internal displacement has bounced back up to 631,000, with this figure likely much higher in reality given the events in the </w:t>
      </w:r>
      <w:r w:rsidR="009A478D">
        <w:t>early part of 2014 (UNHCR, 2014b</w:t>
      </w:r>
      <w:r>
        <w:t xml:space="preserve">). </w:t>
      </w:r>
    </w:p>
    <w:p w:rsidR="00701580" w:rsidRDefault="00701580" w:rsidP="00CE629D">
      <w:pPr>
        <w:spacing w:line="480" w:lineRule="auto"/>
        <w:jc w:val="both"/>
      </w:pPr>
    </w:p>
    <w:p w:rsidR="00F74E3C" w:rsidRDefault="00F74E3C" w:rsidP="00CE629D">
      <w:pPr>
        <w:spacing w:line="480" w:lineRule="auto"/>
        <w:jc w:val="both"/>
      </w:pPr>
      <w:r>
        <w:t>Figure 1: IDP and Return IDP Stocks</w:t>
      </w:r>
    </w:p>
    <w:p w:rsidR="00F74E3C" w:rsidRDefault="00402054" w:rsidP="00CE629D">
      <w:pPr>
        <w:spacing w:line="480" w:lineRule="auto"/>
        <w:jc w:val="both"/>
      </w:pPr>
      <w:r>
        <w:rPr>
          <w:noProof/>
        </w:rPr>
        <w:drawing>
          <wp:inline distT="0" distB="0" distL="0" distR="0">
            <wp:extent cx="5943600" cy="4306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06609"/>
                    </a:xfrm>
                    <a:prstGeom prst="rect">
                      <a:avLst/>
                    </a:prstGeom>
                    <a:noFill/>
                    <a:ln>
                      <a:noFill/>
                    </a:ln>
                  </pic:spPr>
                </pic:pic>
              </a:graphicData>
            </a:graphic>
          </wp:inline>
        </w:drawing>
      </w:r>
    </w:p>
    <w:p w:rsidR="00F74E3C" w:rsidRDefault="00F74E3C" w:rsidP="00F74E3C">
      <w:pPr>
        <w:pStyle w:val="ListParagraph"/>
        <w:spacing w:after="200" w:line="480" w:lineRule="auto"/>
        <w:ind w:left="360"/>
        <w:contextualSpacing w:val="0"/>
        <w:jc w:val="both"/>
        <w:rPr>
          <w:b/>
          <w:sz w:val="28"/>
        </w:rPr>
      </w:pPr>
    </w:p>
    <w:p w:rsidR="006D2795" w:rsidRDefault="004C2B0A" w:rsidP="009F6424">
      <w:pPr>
        <w:pStyle w:val="ListParagraph"/>
        <w:numPr>
          <w:ilvl w:val="0"/>
          <w:numId w:val="2"/>
        </w:numPr>
        <w:spacing w:after="200" w:line="480" w:lineRule="auto"/>
        <w:ind w:left="360"/>
        <w:contextualSpacing w:val="0"/>
        <w:jc w:val="both"/>
        <w:rPr>
          <w:b/>
          <w:sz w:val="28"/>
        </w:rPr>
      </w:pPr>
      <w:r>
        <w:rPr>
          <w:b/>
          <w:sz w:val="28"/>
        </w:rPr>
        <w:lastRenderedPageBreak/>
        <w:t>Methodology</w:t>
      </w:r>
    </w:p>
    <w:p w:rsidR="001A79F9" w:rsidRPr="006B7D90" w:rsidRDefault="001A79F9" w:rsidP="009F6424">
      <w:pPr>
        <w:spacing w:after="200" w:line="480" w:lineRule="auto"/>
        <w:jc w:val="both"/>
        <w:rPr>
          <w:b/>
        </w:rPr>
      </w:pPr>
      <w:r w:rsidRPr="006B7D90">
        <w:rPr>
          <w:b/>
        </w:rPr>
        <w:t>Data</w:t>
      </w:r>
    </w:p>
    <w:p w:rsidR="00ED1E88" w:rsidRDefault="009A6CC0" w:rsidP="009F6424">
      <w:pPr>
        <w:spacing w:line="480" w:lineRule="auto"/>
        <w:jc w:val="both"/>
      </w:pPr>
      <w:r>
        <w:t>This</w:t>
      </w:r>
      <w:r w:rsidR="00073414">
        <w:t xml:space="preserve"> </w:t>
      </w:r>
      <w:r>
        <w:t>study</w:t>
      </w:r>
      <w:r w:rsidR="00073414">
        <w:t xml:space="preserve"> relies on data collected </w:t>
      </w:r>
      <w:r w:rsidR="0073321D">
        <w:t xml:space="preserve">by Samuel Hall Consulting in conjunction with the Maastricht Graduate School of Governance </w:t>
      </w:r>
      <w:r w:rsidR="006E48AB">
        <w:t xml:space="preserve">(MGSoG) </w:t>
      </w:r>
      <w:r w:rsidR="0073321D">
        <w:t xml:space="preserve">for the independent evaluation of the UNHCR shelter assistance program from 2009 to 2011. The </w:t>
      </w:r>
      <w:r w:rsidR="00073414">
        <w:t xml:space="preserve">household survey </w:t>
      </w:r>
      <w:r w:rsidR="0073321D">
        <w:t xml:space="preserve">took place </w:t>
      </w:r>
      <w:r w:rsidR="00073414">
        <w:t xml:space="preserve">in late 2012, across 15 provinces of Afghanistan. </w:t>
      </w:r>
      <w:r w:rsidR="0073321D">
        <w:t xml:space="preserve">As the </w:t>
      </w:r>
      <w:r w:rsidR="00073414">
        <w:t xml:space="preserve">original purpose of the survey was to evaluate shelter assistance programs </w:t>
      </w:r>
      <w:r w:rsidR="006415D5">
        <w:t>for return migrants and IDPs</w:t>
      </w:r>
      <w:r w:rsidR="00073414">
        <w:t xml:space="preserve">, </w:t>
      </w:r>
      <w:r w:rsidR="0073321D">
        <w:t xml:space="preserve">the </w:t>
      </w:r>
      <w:r w:rsidR="006415D5">
        <w:t>sampling reflects the general distribution of shelter assistance</w:t>
      </w:r>
      <w:r w:rsidR="003B03A7">
        <w:t xml:space="preserve"> by international organizations</w:t>
      </w:r>
      <w:r w:rsidR="005E4A7F" w:rsidRPr="00601108">
        <w:t xml:space="preserve"> while also taking into account local security restrictions</w:t>
      </w:r>
      <w:r w:rsidR="005E4A7F">
        <w:t>,</w:t>
      </w:r>
      <w:r w:rsidR="006415D5">
        <w:t xml:space="preserve"> and </w:t>
      </w:r>
      <w:r w:rsidR="003B03A7">
        <w:t xml:space="preserve">therefore </w:t>
      </w:r>
      <w:r w:rsidR="006415D5">
        <w:t xml:space="preserve">cannot strictly be </w:t>
      </w:r>
      <w:r w:rsidR="003B03A7">
        <w:t xml:space="preserve">considered </w:t>
      </w:r>
      <w:r w:rsidR="0077150A">
        <w:t>representative</w:t>
      </w:r>
      <w:r w:rsidR="006415D5">
        <w:t xml:space="preserve"> across the country. Still</w:t>
      </w:r>
      <w:r w:rsidR="005E4A7F">
        <w:t>, measures were taken to increase representativeness</w:t>
      </w:r>
      <w:r w:rsidR="00CE629D">
        <w:t>,</w:t>
      </w:r>
      <w:r w:rsidR="005E4A7F">
        <w:t xml:space="preserve"> including the selection of </w:t>
      </w:r>
      <w:r w:rsidR="00ED1E88">
        <w:t>a</w:t>
      </w:r>
      <w:r w:rsidR="00ED1E88" w:rsidRPr="00601108">
        <w:t xml:space="preserve">t least one province within each of the country’s eight regions. Within provinces, one or more districts were selected for cluster sampling, with villages then randomly selected in light of a general record </w:t>
      </w:r>
      <w:r w:rsidR="009B57B0">
        <w:t xml:space="preserve">of shelter assistance </w:t>
      </w:r>
      <w:r w:rsidR="00ED1E88" w:rsidRPr="00601108">
        <w:t>beneficiaries’ locations. Within these villages, both beneficiary and non-beneficiary households were surveyed at random</w:t>
      </w:r>
      <w:r w:rsidR="009B57B0">
        <w:t xml:space="preserve"> (MGSoG </w:t>
      </w:r>
      <w:r w:rsidR="00726DF7">
        <w:t xml:space="preserve">&amp; </w:t>
      </w:r>
      <w:r w:rsidR="009B57B0">
        <w:t>Samuel Hall</w:t>
      </w:r>
      <w:r w:rsidR="00916712">
        <w:t xml:space="preserve"> Consulting</w:t>
      </w:r>
      <w:r w:rsidR="009B57B0">
        <w:t>, 2013)</w:t>
      </w:r>
      <w:r w:rsidR="00ED1E88" w:rsidRPr="00601108">
        <w:t>.</w:t>
      </w:r>
    </w:p>
    <w:p w:rsidR="00A95C40" w:rsidRDefault="00A95C40" w:rsidP="009F6424">
      <w:pPr>
        <w:spacing w:line="480" w:lineRule="auto"/>
        <w:jc w:val="both"/>
      </w:pPr>
    </w:p>
    <w:p w:rsidR="00674BB7" w:rsidRDefault="00A95C40" w:rsidP="009F6424">
      <w:pPr>
        <w:spacing w:line="480" w:lineRule="auto"/>
        <w:jc w:val="both"/>
      </w:pPr>
      <w:r>
        <w:t>Because the objective of the survey was to capture information for return migrants and IDPs, the questionnaire allows for direct identification of internally displaced households in comparison to those who have never moved</w:t>
      </w:r>
      <w:r>
        <w:rPr>
          <w:rStyle w:val="FootnoteReference"/>
        </w:rPr>
        <w:footnoteReference w:id="3"/>
      </w:r>
      <w:r>
        <w:t xml:space="preserve">. Moreover, because respondents were asked two distinct questions about why they decided to move </w:t>
      </w:r>
      <w:r w:rsidRPr="00940B66">
        <w:rPr>
          <w:i/>
        </w:rPr>
        <w:t>from</w:t>
      </w:r>
      <w:r>
        <w:t xml:space="preserve"> their community of origin and why they decided to move </w:t>
      </w:r>
      <w:r w:rsidRPr="00940B66">
        <w:rPr>
          <w:i/>
        </w:rPr>
        <w:t>to</w:t>
      </w:r>
      <w:r>
        <w:t xml:space="preserve"> their current place of residence, we are able to identify households that were involuntarily displaced due to conflict, insecurity, persecution or natural disaster – arguable exogenous shocks </w:t>
      </w:r>
      <w:r>
        <w:lastRenderedPageBreak/>
        <w:t>resulting in minimal choice in the decision to move</w:t>
      </w:r>
      <w:r>
        <w:rPr>
          <w:rStyle w:val="FootnoteReference"/>
        </w:rPr>
        <w:footnoteReference w:id="4"/>
      </w:r>
      <w:r>
        <w:t xml:space="preserve"> – and who chose their destination location without consideration for the outcomes in question (e.g. services like education, food and health). This allows for greater distinction between involuntary and voluntary movement as well as exogenous location choice, helping to minimize any potential bias in our estimates due to endogeneity. </w:t>
      </w:r>
      <w:r w:rsidR="00674BB7">
        <w:t xml:space="preserve">Ultimately, our sample is made up of </w:t>
      </w:r>
      <w:r w:rsidR="00FA6A21">
        <w:t>1,020</w:t>
      </w:r>
      <w:r w:rsidR="00674BB7">
        <w:t xml:space="preserve"> </w:t>
      </w:r>
      <w:r w:rsidR="00CE629D">
        <w:t xml:space="preserve">household-level </w:t>
      </w:r>
      <w:r w:rsidR="00674BB7">
        <w:t>observations of which 40</w:t>
      </w:r>
      <w:r w:rsidR="00674BB7">
        <w:rPr>
          <w:b/>
        </w:rPr>
        <w:t xml:space="preserve"> </w:t>
      </w:r>
      <w:r w:rsidR="00674BB7">
        <w:t xml:space="preserve">percent are considered involuntarily and exogenously internally displaced. Figure 2 illustrates where </w:t>
      </w:r>
      <w:r w:rsidR="008A284E">
        <w:t xml:space="preserve">these </w:t>
      </w:r>
      <w:r w:rsidR="00674BB7">
        <w:t xml:space="preserve">internally displaced households are located </w:t>
      </w:r>
      <w:r w:rsidR="008A284E">
        <w:t>around the country</w:t>
      </w:r>
      <w:r w:rsidR="001F11FC">
        <w:t xml:space="preserve"> by province</w:t>
      </w:r>
      <w:r w:rsidR="00674BB7">
        <w:t>.</w:t>
      </w:r>
    </w:p>
    <w:p w:rsidR="00F74E3C" w:rsidRDefault="00F74E3C" w:rsidP="009F6424">
      <w:pPr>
        <w:spacing w:line="480" w:lineRule="auto"/>
        <w:jc w:val="both"/>
      </w:pPr>
    </w:p>
    <w:p w:rsidR="00F74E3C" w:rsidRDefault="00F74E3C" w:rsidP="009F6424">
      <w:pPr>
        <w:spacing w:line="480" w:lineRule="auto"/>
        <w:jc w:val="both"/>
      </w:pPr>
      <w:r>
        <w:t>Figure 2: Location of Internally Displaced Households</w:t>
      </w:r>
    </w:p>
    <w:p w:rsidR="0092690D" w:rsidRDefault="0092690D" w:rsidP="009F6424">
      <w:pPr>
        <w:spacing w:line="480" w:lineRule="auto"/>
        <w:jc w:val="both"/>
      </w:pPr>
      <w:r>
        <w:rPr>
          <w:noProof/>
        </w:rPr>
        <w:drawing>
          <wp:inline distT="0" distB="0" distL="0" distR="0" wp14:anchorId="16AB5055" wp14:editId="45358D78">
            <wp:extent cx="5943600" cy="3766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bution_idps.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766820"/>
                    </a:xfrm>
                    <a:prstGeom prst="rect">
                      <a:avLst/>
                    </a:prstGeom>
                  </pic:spPr>
                </pic:pic>
              </a:graphicData>
            </a:graphic>
          </wp:inline>
        </w:drawing>
      </w:r>
    </w:p>
    <w:p w:rsidR="00E52408" w:rsidRPr="00366809" w:rsidRDefault="00A81723" w:rsidP="009F6424">
      <w:pPr>
        <w:pStyle w:val="ListParagraph"/>
        <w:spacing w:line="240" w:lineRule="auto"/>
        <w:ind w:left="0"/>
        <w:jc w:val="both"/>
        <w:rPr>
          <w:sz w:val="20"/>
        </w:rPr>
      </w:pPr>
      <w:r w:rsidRPr="00A81723">
        <w:rPr>
          <w:sz w:val="20"/>
        </w:rPr>
        <w:t>Note</w:t>
      </w:r>
      <w:r w:rsidR="00366809">
        <w:rPr>
          <w:sz w:val="20"/>
        </w:rPr>
        <w:t xml:space="preserve">: For exact figures, </w:t>
      </w:r>
      <w:r>
        <w:rPr>
          <w:sz w:val="20"/>
        </w:rPr>
        <w:t>see Table A1 in the Appendix.</w:t>
      </w:r>
    </w:p>
    <w:p w:rsidR="00D13FA0" w:rsidRDefault="00D13FA0" w:rsidP="00D13FA0">
      <w:pPr>
        <w:spacing w:line="480" w:lineRule="auto"/>
        <w:jc w:val="both"/>
      </w:pPr>
    </w:p>
    <w:p w:rsidR="00D13FA0" w:rsidRDefault="00DD693F" w:rsidP="00D13FA0">
      <w:pPr>
        <w:spacing w:line="480" w:lineRule="auto"/>
        <w:jc w:val="both"/>
      </w:pPr>
      <w:r>
        <w:t>Even though we arguabl</w:t>
      </w:r>
      <w:r w:rsidR="00353E1D">
        <w:t>y</w:t>
      </w:r>
      <w:r>
        <w:t xml:space="preserve"> minimize any bias due to selection by only taking into account involuntary migration, it is still possible that some households may be systematically more exposed to violence, and therefore displacement, given inherent characteristics (e.g. wealth levels prior to displacement) leading to inconsistent estimates (</w:t>
      </w:r>
      <w:proofErr w:type="spellStart"/>
      <w:r>
        <w:t>Kondylis</w:t>
      </w:r>
      <w:proofErr w:type="spellEnd"/>
      <w:r>
        <w:t>, 2010). While we cannot fully account for such selection bias using advanced econometric techniques due to the limitations of our dataset, we believe our estimates should be considered lower bounds for two reasons. First, one could</w:t>
      </w:r>
      <w:r w:rsidR="00CE629D">
        <w:t xml:space="preserve"> readily</w:t>
      </w:r>
      <w:r>
        <w:t xml:space="preserve"> suppose local violence in general is likely to be targeted towards those wealthy members of the community as they arguable have more local authority. However in Afghanistan there is little evidence to support such a conjecture as much of the violence has been noticeable indiscriminate against the civilian population (see </w:t>
      </w:r>
      <w:r w:rsidRPr="00146345">
        <w:t>Human Rights Watch</w:t>
      </w:r>
      <w:r>
        <w:t xml:space="preserve">, 2007). </w:t>
      </w:r>
      <w:r w:rsidR="00D13FA0">
        <w:t xml:space="preserve">Our own data corroborates </w:t>
      </w:r>
      <w:r w:rsidR="00824B9F">
        <w:t xml:space="preserve">such a </w:t>
      </w:r>
      <w:r w:rsidR="00015CFB">
        <w:t xml:space="preserve">lack of targeted violence, </w:t>
      </w:r>
      <w:r w:rsidR="00D13FA0">
        <w:t>as only 16 percent of those households considered internally displaced are so because of persona</w:t>
      </w:r>
      <w:r w:rsidR="00015CFB">
        <w:t>l, family or ethnic persecution</w:t>
      </w:r>
      <w:r w:rsidR="00D13FA0">
        <w:t xml:space="preserve"> while the majority of households, 83 percent, are so because of general insecurity and conflict. Nonetheless, although we cannot categorically discount targeting, supposing true would mean displaced households should have been systematically better off before migration relative to non-displaced households in terms of general well-being. Second, the migration journey itself, even internally, is not without cost. Therefore similarly if those who migrated were able to assume such costs while those who stayed behind were not, one can assume that displaced households were again better off before migration took place. As such, our estimates, if in fact imprecise, should in principle be underestimating any true effect that shows a negative difference between displaced and non-displaced households.</w:t>
      </w:r>
    </w:p>
    <w:p w:rsidR="00947A32" w:rsidRDefault="00947A32" w:rsidP="009F6424">
      <w:pPr>
        <w:spacing w:line="480" w:lineRule="auto"/>
        <w:jc w:val="both"/>
      </w:pPr>
    </w:p>
    <w:p w:rsidR="0010297E" w:rsidRDefault="0092690D" w:rsidP="009F6424">
      <w:pPr>
        <w:spacing w:line="480" w:lineRule="auto"/>
        <w:jc w:val="both"/>
      </w:pPr>
      <w:r>
        <w:lastRenderedPageBreak/>
        <w:t xml:space="preserve">As </w:t>
      </w:r>
      <w:r w:rsidR="00937962">
        <w:t>the goal</w:t>
      </w:r>
      <w:r w:rsidR="003F6397">
        <w:t xml:space="preserve"> here</w:t>
      </w:r>
      <w:r w:rsidR="00937962">
        <w:t xml:space="preserve"> is to measure the extent to which internal displacement has an effect on </w:t>
      </w:r>
      <w:r w:rsidR="004142C1">
        <w:t>livelihood prospects</w:t>
      </w:r>
      <w:r w:rsidR="007F60B0">
        <w:t xml:space="preserve"> later on in life</w:t>
      </w:r>
      <w:r w:rsidR="004142C1">
        <w:t xml:space="preserve">, we focus on </w:t>
      </w:r>
      <w:r w:rsidR="007F60B0">
        <w:t>child</w:t>
      </w:r>
      <w:r w:rsidR="006E48AB">
        <w:t>-specific</w:t>
      </w:r>
      <w:r w:rsidR="007F60B0">
        <w:t xml:space="preserve"> </w:t>
      </w:r>
      <w:r w:rsidR="004142C1">
        <w:t xml:space="preserve">outcomes related to </w:t>
      </w:r>
      <w:r w:rsidR="00937962">
        <w:t>human capital formation</w:t>
      </w:r>
      <w:r w:rsidR="004142C1">
        <w:t xml:space="preserve">, namely </w:t>
      </w:r>
      <w:r w:rsidR="00937962">
        <w:t>education and nutrition</w:t>
      </w:r>
      <w:r w:rsidR="003F6397">
        <w:t>.</w:t>
      </w:r>
      <w:r w:rsidR="00937962">
        <w:t xml:space="preserve"> </w:t>
      </w:r>
      <w:r w:rsidR="004142C1">
        <w:t xml:space="preserve">Both </w:t>
      </w:r>
      <w:r w:rsidR="000B3DAE">
        <w:t>outcomes</w:t>
      </w:r>
      <w:r w:rsidR="007F60B0">
        <w:t xml:space="preserve"> </w:t>
      </w:r>
      <w:r w:rsidR="004142C1">
        <w:t xml:space="preserve">are widely recognized as fundamental determinants of future well-being and have been </w:t>
      </w:r>
      <w:r w:rsidR="00AE47C2">
        <w:t xml:space="preserve">the focus </w:t>
      </w:r>
      <w:r w:rsidR="004142C1">
        <w:t xml:space="preserve">of </w:t>
      </w:r>
      <w:r w:rsidR="00E50DD1">
        <w:t>myriad</w:t>
      </w:r>
      <w:r w:rsidR="004142C1">
        <w:t xml:space="preserve"> studies in the development literature (</w:t>
      </w:r>
      <w:r w:rsidR="00897A1E">
        <w:t xml:space="preserve">e.g. </w:t>
      </w:r>
      <w:r w:rsidR="001F11FC">
        <w:t xml:space="preserve">Alderman et al., 2006; </w:t>
      </w:r>
      <w:proofErr w:type="spellStart"/>
      <w:r w:rsidR="004142C1">
        <w:t>Rosenzweig</w:t>
      </w:r>
      <w:proofErr w:type="spellEnd"/>
      <w:r w:rsidR="00897A1E">
        <w:t>, 2010)</w:t>
      </w:r>
      <w:r w:rsidR="001F11FC">
        <w:t>.</w:t>
      </w:r>
      <w:r w:rsidR="00897A1E">
        <w:t xml:space="preserve"> </w:t>
      </w:r>
      <w:r w:rsidR="00937962">
        <w:t xml:space="preserve">Regarding </w:t>
      </w:r>
      <w:r w:rsidR="00E92BB8">
        <w:t>education</w:t>
      </w:r>
      <w:r w:rsidR="007F60B0">
        <w:t>, our outcome</w:t>
      </w:r>
      <w:r w:rsidR="00937962">
        <w:t xml:space="preserve"> of interest </w:t>
      </w:r>
      <w:r w:rsidR="007F60B0">
        <w:t xml:space="preserve">is </w:t>
      </w:r>
      <w:r w:rsidR="00937962">
        <w:t xml:space="preserve">the </w:t>
      </w:r>
      <w:r w:rsidR="00E50DD1">
        <w:t>categorical</w:t>
      </w:r>
      <w:r w:rsidR="00937962">
        <w:t xml:space="preserve"> variable school attendance of school-aged children </w:t>
      </w:r>
      <w:r w:rsidR="00E92BB8">
        <w:t xml:space="preserve">differentiated by </w:t>
      </w:r>
      <w:r w:rsidR="00FE7F96">
        <w:t>whether no children</w:t>
      </w:r>
      <w:r w:rsidR="00A70B5E">
        <w:t xml:space="preserve"> attend school, a</w:t>
      </w:r>
      <w:r w:rsidR="00701580">
        <w:t xml:space="preserve">ll children attend school or </w:t>
      </w:r>
      <w:r w:rsidR="00A70B5E">
        <w:t>only boys attend school</w:t>
      </w:r>
      <w:r w:rsidR="00701580">
        <w:rPr>
          <w:rStyle w:val="FootnoteReference"/>
        </w:rPr>
        <w:footnoteReference w:id="5"/>
      </w:r>
      <w:r w:rsidR="00937962">
        <w:t xml:space="preserve">. As for nutrition, </w:t>
      </w:r>
      <w:r w:rsidR="00E92BB8">
        <w:t xml:space="preserve">our outcomes of interest include the </w:t>
      </w:r>
      <w:r w:rsidR="006E48AB">
        <w:t xml:space="preserve">categorical </w:t>
      </w:r>
      <w:r w:rsidR="00E92BB8">
        <w:t xml:space="preserve">variable food </w:t>
      </w:r>
      <w:r w:rsidR="001F11FC">
        <w:t>in</w:t>
      </w:r>
      <w:r w:rsidR="00E92BB8">
        <w:t>security</w:t>
      </w:r>
      <w:r w:rsidR="00937962">
        <w:t xml:space="preserve"> </w:t>
      </w:r>
      <w:r w:rsidR="00BD4748">
        <w:t xml:space="preserve">differentiated by whether the </w:t>
      </w:r>
      <w:r w:rsidR="00E92BB8">
        <w:t xml:space="preserve">household </w:t>
      </w:r>
      <w:r w:rsidR="00A70B5E">
        <w:t xml:space="preserve">never has problems satisfying food needs, </w:t>
      </w:r>
      <w:r w:rsidR="00BD4748">
        <w:t xml:space="preserve">rarely </w:t>
      </w:r>
      <w:r w:rsidR="00E92BB8">
        <w:t xml:space="preserve">has problems </w:t>
      </w:r>
      <w:r w:rsidR="00BD4748">
        <w:t>(one or two times</w:t>
      </w:r>
      <w:r w:rsidR="008C4CB3">
        <w:t xml:space="preserve"> per </w:t>
      </w:r>
      <w:r w:rsidR="00BD4748">
        <w:t xml:space="preserve">month) or often has problems (greater </w:t>
      </w:r>
      <w:r w:rsidR="00E92BB8">
        <w:t xml:space="preserve">than three times </w:t>
      </w:r>
      <w:r w:rsidR="008C4CB3">
        <w:t xml:space="preserve">per </w:t>
      </w:r>
      <w:r w:rsidR="00E92BB8">
        <w:t>month</w:t>
      </w:r>
      <w:r w:rsidR="00BD4748">
        <w:t>)</w:t>
      </w:r>
      <w:r w:rsidR="00DD693F">
        <w:t>,</w:t>
      </w:r>
      <w:r w:rsidR="00E92BB8">
        <w:t xml:space="preserve"> </w:t>
      </w:r>
      <w:r w:rsidR="0077150A">
        <w:t xml:space="preserve">and </w:t>
      </w:r>
      <w:r w:rsidR="00E92BB8">
        <w:t xml:space="preserve">the </w:t>
      </w:r>
      <w:r w:rsidR="00A70B5E">
        <w:t xml:space="preserve">continuous </w:t>
      </w:r>
      <w:r w:rsidR="00E92BB8">
        <w:t xml:space="preserve">variable dietary diversity </w:t>
      </w:r>
      <w:r w:rsidR="00A70B5E">
        <w:t xml:space="preserve">proxied by the number of times the </w:t>
      </w:r>
      <w:r w:rsidR="00DD693F">
        <w:t>household has</w:t>
      </w:r>
      <w:r w:rsidR="00A70B5E">
        <w:t xml:space="preserve"> </w:t>
      </w:r>
      <w:r w:rsidR="0077150A">
        <w:t>eaten meat in the last week</w:t>
      </w:r>
      <w:r w:rsidR="00E92BB8">
        <w:t>.</w:t>
      </w:r>
      <w:r w:rsidR="00F76C06">
        <w:t xml:space="preserve"> </w:t>
      </w:r>
    </w:p>
    <w:p w:rsidR="0010297E" w:rsidRDefault="0010297E" w:rsidP="009F6424">
      <w:pPr>
        <w:spacing w:line="480" w:lineRule="auto"/>
        <w:jc w:val="both"/>
      </w:pPr>
    </w:p>
    <w:p w:rsidR="001C64AE" w:rsidRDefault="00F76C06" w:rsidP="009F6424">
      <w:pPr>
        <w:spacing w:line="480" w:lineRule="auto"/>
        <w:jc w:val="both"/>
      </w:pPr>
      <w:r>
        <w:t xml:space="preserve">Table </w:t>
      </w:r>
      <w:r w:rsidR="009F0CA9">
        <w:t>1</w:t>
      </w:r>
      <w:r>
        <w:t xml:space="preserve"> presents summary statistics </w:t>
      </w:r>
      <w:r w:rsidR="009F6424">
        <w:t>reporting</w:t>
      </w:r>
      <w:r w:rsidR="00C615A3">
        <w:t xml:space="preserve"> the </w:t>
      </w:r>
      <w:r w:rsidR="009F6424">
        <w:t xml:space="preserve">sample </w:t>
      </w:r>
      <w:r w:rsidR="00C615A3">
        <w:t>mean and standard deviation</w:t>
      </w:r>
      <w:r w:rsidR="005B7C00">
        <w:t>,</w:t>
      </w:r>
      <w:r w:rsidR="0010297E">
        <w:t xml:space="preserve"> not only for the entire sample but also differentiated by whether the household is considered non-displaced or internally displaced, including a means difference test in the final column. </w:t>
      </w:r>
      <w:r w:rsidR="005B7C00">
        <w:t xml:space="preserve">In terms of </w:t>
      </w:r>
      <w:r w:rsidR="00BE7394">
        <w:t xml:space="preserve">the </w:t>
      </w:r>
      <w:r w:rsidR="005B7C00">
        <w:t>outcomes of interest, o</w:t>
      </w:r>
      <w:r w:rsidR="009F6424">
        <w:t>ut of 1,020</w:t>
      </w:r>
      <w:r w:rsidR="008C4CB3">
        <w:t xml:space="preserve"> respondents who knew whether their school-aged children were in school or not,</w:t>
      </w:r>
      <w:r w:rsidR="001F11FC">
        <w:t xml:space="preserve"> </w:t>
      </w:r>
      <w:r w:rsidR="008C4CB3">
        <w:t xml:space="preserve">35 percent </w:t>
      </w:r>
      <w:r w:rsidR="001F11FC">
        <w:t xml:space="preserve">reported </w:t>
      </w:r>
      <w:r w:rsidR="008C4CB3">
        <w:t>no attendance</w:t>
      </w:r>
      <w:r w:rsidR="003113C0">
        <w:t xml:space="preserve"> whatsoever</w:t>
      </w:r>
      <w:r w:rsidR="00BE7394">
        <w:t xml:space="preserve">. </w:t>
      </w:r>
      <w:r w:rsidR="001F11FC">
        <w:t xml:space="preserve"> </w:t>
      </w:r>
      <w:r w:rsidR="00BE7394">
        <w:t>On</w:t>
      </w:r>
      <w:r w:rsidR="003113C0">
        <w:t xml:space="preserve"> the other end of the spectrum </w:t>
      </w:r>
      <w:r w:rsidR="008C4CB3">
        <w:t xml:space="preserve">41 percent said that all children </w:t>
      </w:r>
      <w:r w:rsidR="003113C0">
        <w:t xml:space="preserve">in the household </w:t>
      </w:r>
      <w:r w:rsidR="008C4CB3">
        <w:t>attend</w:t>
      </w:r>
      <w:r w:rsidR="000B4D49">
        <w:t>ed</w:t>
      </w:r>
      <w:r w:rsidR="008C4CB3">
        <w:t xml:space="preserve"> school</w:t>
      </w:r>
      <w:r w:rsidR="00BE7394">
        <w:t>, and 20 percent reported only boys were in school</w:t>
      </w:r>
      <w:r w:rsidR="003113C0">
        <w:t xml:space="preserve">. </w:t>
      </w:r>
      <w:r w:rsidR="00BE7394">
        <w:t>T</w:t>
      </w:r>
      <w:r w:rsidR="005B7C00">
        <w:t xml:space="preserve">here is a </w:t>
      </w:r>
      <w:r w:rsidR="001C64AE">
        <w:t xml:space="preserve">highly </w:t>
      </w:r>
      <w:r w:rsidR="005B7C00">
        <w:t xml:space="preserve">statistically significant difference </w:t>
      </w:r>
      <w:r w:rsidR="00BE7394">
        <w:t xml:space="preserve">in responses </w:t>
      </w:r>
      <w:r w:rsidR="005B7C00">
        <w:t>when comparing non-displaced and displaced households</w:t>
      </w:r>
      <w:r w:rsidR="00BE7394">
        <w:t xml:space="preserve">, apart from when the response was only </w:t>
      </w:r>
      <w:proofErr w:type="gramStart"/>
      <w:r w:rsidR="00BE7394">
        <w:t>boys</w:t>
      </w:r>
      <w:proofErr w:type="gramEnd"/>
      <w:r w:rsidR="00BE7394">
        <w:t xml:space="preserve"> attended school.</w:t>
      </w:r>
    </w:p>
    <w:p w:rsidR="00BE7394" w:rsidRDefault="00BE7394" w:rsidP="009F6424">
      <w:pPr>
        <w:spacing w:line="480" w:lineRule="auto"/>
        <w:jc w:val="both"/>
      </w:pPr>
    </w:p>
    <w:p w:rsidR="00B54838" w:rsidRDefault="008C4CB3" w:rsidP="009F6424">
      <w:pPr>
        <w:spacing w:line="480" w:lineRule="auto"/>
        <w:jc w:val="both"/>
      </w:pPr>
      <w:r>
        <w:t xml:space="preserve">As for food insecurity, 20 percent of households responded </w:t>
      </w:r>
      <w:r w:rsidR="000B4D49">
        <w:t xml:space="preserve">as having </w:t>
      </w:r>
      <w:r>
        <w:t>no problems satisfying food needs</w:t>
      </w:r>
      <w:r w:rsidR="001C64AE">
        <w:t>,</w:t>
      </w:r>
      <w:r>
        <w:t xml:space="preserve"> while some 44 percent rarely </w:t>
      </w:r>
      <w:r w:rsidR="00332091">
        <w:t xml:space="preserve">had </w:t>
      </w:r>
      <w:r>
        <w:t xml:space="preserve">problems (one to two times per month) and another 37 percent often </w:t>
      </w:r>
      <w:r w:rsidR="00332091">
        <w:t xml:space="preserve">had </w:t>
      </w:r>
      <w:r>
        <w:t xml:space="preserve">problems (greater than three times per month). </w:t>
      </w:r>
      <w:r w:rsidR="001C64AE">
        <w:t xml:space="preserve">We find non-displaced households were much more likely to never have problems, and displaced households more likely to often have problems. </w:t>
      </w:r>
      <w:r>
        <w:t>Lastly, the average times household</w:t>
      </w:r>
      <w:r w:rsidR="00332091">
        <w:t>s</w:t>
      </w:r>
      <w:r>
        <w:t xml:space="preserve"> </w:t>
      </w:r>
      <w:r w:rsidR="00332091">
        <w:t xml:space="preserve">had eaten </w:t>
      </w:r>
      <w:r>
        <w:t xml:space="preserve">meat </w:t>
      </w:r>
      <w:r w:rsidR="00332091">
        <w:t xml:space="preserve">over the prior week </w:t>
      </w:r>
      <w:r>
        <w:t>indicating d</w:t>
      </w:r>
      <w:r w:rsidR="00BE1FBE">
        <w:t xml:space="preserve">ietary diversity is around </w:t>
      </w:r>
      <w:proofErr w:type="gramStart"/>
      <w:r w:rsidR="00BE1FBE">
        <w:t>one</w:t>
      </w:r>
      <w:r w:rsidR="00332091">
        <w:t>,</w:t>
      </w:r>
      <w:proofErr w:type="gramEnd"/>
      <w:r w:rsidR="00BE1FBE">
        <w:t xml:space="preserve"> </w:t>
      </w:r>
      <w:r w:rsidR="003113C0">
        <w:t xml:space="preserve">however this </w:t>
      </w:r>
      <w:r w:rsidR="00BE1FBE">
        <w:t xml:space="preserve">masks the fact that 46 percent of our sample </w:t>
      </w:r>
      <w:r w:rsidR="003113C0">
        <w:t xml:space="preserve">reported </w:t>
      </w:r>
      <w:r w:rsidR="00EF15D0">
        <w:t>having</w:t>
      </w:r>
      <w:r w:rsidR="00332091">
        <w:t xml:space="preserve"> eaten </w:t>
      </w:r>
      <w:r w:rsidR="00BE1FBE">
        <w:t>no meat over the last week.</w:t>
      </w:r>
      <w:r w:rsidR="001C64AE">
        <w:t xml:space="preserve"> Between groups, there is a statistically significant mean difference with non-displaced households eating meat more often than their displaced counterparts. </w:t>
      </w:r>
    </w:p>
    <w:p w:rsidR="00B54838" w:rsidRDefault="00B54838" w:rsidP="009F6424">
      <w:pPr>
        <w:spacing w:line="480" w:lineRule="auto"/>
        <w:jc w:val="both"/>
      </w:pPr>
    </w:p>
    <w:tbl>
      <w:tblPr>
        <w:tblW w:w="5000" w:type="pct"/>
        <w:tblLayout w:type="fixed"/>
        <w:tblLook w:val="04A0" w:firstRow="1" w:lastRow="0" w:firstColumn="1" w:lastColumn="0" w:noHBand="0" w:noVBand="1"/>
      </w:tblPr>
      <w:tblGrid>
        <w:gridCol w:w="2722"/>
        <w:gridCol w:w="1056"/>
        <w:gridCol w:w="925"/>
        <w:gridCol w:w="1009"/>
        <w:gridCol w:w="969"/>
        <w:gridCol w:w="1076"/>
        <w:gridCol w:w="994"/>
        <w:gridCol w:w="825"/>
      </w:tblGrid>
      <w:tr w:rsidR="0010297E" w:rsidRPr="00C80694" w:rsidTr="0093428B">
        <w:trPr>
          <w:trHeight w:val="360"/>
        </w:trPr>
        <w:tc>
          <w:tcPr>
            <w:tcW w:w="5000" w:type="pct"/>
            <w:gridSpan w:val="8"/>
            <w:tcBorders>
              <w:top w:val="nil"/>
              <w:left w:val="nil"/>
              <w:bottom w:val="double" w:sz="6" w:space="0" w:color="auto"/>
              <w:right w:val="nil"/>
            </w:tcBorders>
            <w:shd w:val="clear" w:color="auto" w:fill="auto"/>
            <w:noWrap/>
            <w:vAlign w:val="center"/>
            <w:hideMark/>
          </w:tcPr>
          <w:p w:rsidR="0010297E" w:rsidRPr="00C80694" w:rsidRDefault="005B7C00" w:rsidP="0010297E">
            <w:pPr>
              <w:spacing w:line="240" w:lineRule="auto"/>
              <w:rPr>
                <w:rFonts w:eastAsia="Times New Roman"/>
                <w:bCs/>
                <w:color w:val="000000"/>
              </w:rPr>
            </w:pPr>
            <w:r w:rsidRPr="00C80694">
              <w:rPr>
                <w:rFonts w:eastAsia="Times New Roman"/>
                <w:bCs/>
                <w:color w:val="000000"/>
              </w:rPr>
              <w:t>Table 1</w:t>
            </w:r>
            <w:r w:rsidR="0010297E" w:rsidRPr="00C80694">
              <w:rPr>
                <w:rFonts w:eastAsia="Times New Roman"/>
                <w:bCs/>
                <w:color w:val="000000"/>
              </w:rPr>
              <w:t>: Summary Statistics</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ascii="Calibri" w:eastAsia="Times New Roman" w:hAnsi="Calibri"/>
                <w:color w:val="000000"/>
                <w:sz w:val="22"/>
                <w:szCs w:val="22"/>
              </w:rPr>
            </w:pPr>
          </w:p>
        </w:tc>
        <w:tc>
          <w:tcPr>
            <w:tcW w:w="1034" w:type="pct"/>
            <w:gridSpan w:val="2"/>
            <w:tcBorders>
              <w:top w:val="double" w:sz="6" w:space="0" w:color="auto"/>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u w:val="single"/>
              </w:rPr>
            </w:pPr>
            <w:r w:rsidRPr="0010297E">
              <w:rPr>
                <w:rFonts w:eastAsia="Times New Roman"/>
                <w:color w:val="000000"/>
                <w:sz w:val="22"/>
                <w:szCs w:val="22"/>
                <w:u w:val="single"/>
              </w:rPr>
              <w:t>Full Sample</w:t>
            </w:r>
          </w:p>
        </w:tc>
        <w:tc>
          <w:tcPr>
            <w:tcW w:w="1033" w:type="pct"/>
            <w:gridSpan w:val="2"/>
            <w:tcBorders>
              <w:top w:val="double" w:sz="6" w:space="0" w:color="auto"/>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u w:val="single"/>
              </w:rPr>
            </w:pPr>
            <w:r w:rsidRPr="0010297E">
              <w:rPr>
                <w:rFonts w:eastAsia="Times New Roman"/>
                <w:color w:val="000000"/>
                <w:sz w:val="22"/>
                <w:szCs w:val="22"/>
                <w:u w:val="single"/>
              </w:rPr>
              <w:t>Non-Displaced</w:t>
            </w:r>
          </w:p>
        </w:tc>
        <w:tc>
          <w:tcPr>
            <w:tcW w:w="1081" w:type="pct"/>
            <w:gridSpan w:val="2"/>
            <w:tcBorders>
              <w:top w:val="double" w:sz="6" w:space="0" w:color="auto"/>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u w:val="single"/>
              </w:rPr>
            </w:pPr>
            <w:r w:rsidRPr="0010297E">
              <w:rPr>
                <w:rFonts w:eastAsia="Times New Roman"/>
                <w:color w:val="000000"/>
                <w:sz w:val="22"/>
                <w:szCs w:val="22"/>
                <w:u w:val="single"/>
              </w:rPr>
              <w:t>Internally Displaced</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ascii="Calibri" w:eastAsia="Times New Roman" w:hAnsi="Calibri"/>
                <w:color w:val="000000"/>
                <w:sz w:val="22"/>
                <w:szCs w:val="22"/>
              </w:rPr>
            </w:pPr>
          </w:p>
        </w:tc>
      </w:tr>
      <w:tr w:rsidR="005B7C00" w:rsidRPr="0010297E" w:rsidTr="0093428B">
        <w:trPr>
          <w:trHeight w:val="360"/>
        </w:trPr>
        <w:tc>
          <w:tcPr>
            <w:tcW w:w="1421" w:type="pct"/>
            <w:tcBorders>
              <w:top w:val="nil"/>
              <w:left w:val="nil"/>
              <w:bottom w:val="single" w:sz="8" w:space="0" w:color="auto"/>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w:t>
            </w:r>
          </w:p>
        </w:tc>
        <w:tc>
          <w:tcPr>
            <w:tcW w:w="551" w:type="pct"/>
            <w:tcBorders>
              <w:top w:val="nil"/>
              <w:left w:val="nil"/>
              <w:bottom w:val="single" w:sz="8" w:space="0" w:color="auto"/>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Mean</w:t>
            </w:r>
          </w:p>
        </w:tc>
        <w:tc>
          <w:tcPr>
            <w:tcW w:w="483" w:type="pct"/>
            <w:tcBorders>
              <w:top w:val="nil"/>
              <w:left w:val="nil"/>
              <w:bottom w:val="single" w:sz="8" w:space="0" w:color="auto"/>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SD</w:t>
            </w:r>
          </w:p>
        </w:tc>
        <w:tc>
          <w:tcPr>
            <w:tcW w:w="527" w:type="pct"/>
            <w:tcBorders>
              <w:top w:val="nil"/>
              <w:left w:val="nil"/>
              <w:bottom w:val="single" w:sz="8" w:space="0" w:color="auto"/>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Mean</w:t>
            </w:r>
          </w:p>
        </w:tc>
        <w:tc>
          <w:tcPr>
            <w:tcW w:w="506" w:type="pct"/>
            <w:tcBorders>
              <w:top w:val="nil"/>
              <w:left w:val="nil"/>
              <w:bottom w:val="single" w:sz="8" w:space="0" w:color="auto"/>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SD</w:t>
            </w:r>
          </w:p>
        </w:tc>
        <w:tc>
          <w:tcPr>
            <w:tcW w:w="562" w:type="pct"/>
            <w:tcBorders>
              <w:top w:val="nil"/>
              <w:left w:val="nil"/>
              <w:bottom w:val="single" w:sz="8" w:space="0" w:color="auto"/>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Mean</w:t>
            </w:r>
          </w:p>
        </w:tc>
        <w:tc>
          <w:tcPr>
            <w:tcW w:w="519" w:type="pct"/>
            <w:tcBorders>
              <w:top w:val="nil"/>
              <w:left w:val="nil"/>
              <w:bottom w:val="single" w:sz="8" w:space="0" w:color="auto"/>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SD</w:t>
            </w:r>
          </w:p>
        </w:tc>
        <w:tc>
          <w:tcPr>
            <w:tcW w:w="431" w:type="pct"/>
            <w:tcBorders>
              <w:top w:val="nil"/>
              <w:left w:val="nil"/>
              <w:bottom w:val="single" w:sz="8" w:space="0" w:color="auto"/>
              <w:right w:val="nil"/>
            </w:tcBorders>
            <w:shd w:val="clear" w:color="auto" w:fill="auto"/>
            <w:noWrap/>
            <w:vAlign w:val="center"/>
            <w:hideMark/>
          </w:tcPr>
          <w:p w:rsidR="0010297E" w:rsidRPr="0010297E" w:rsidRDefault="00A121FF" w:rsidP="00A121FF">
            <w:pPr>
              <w:spacing w:line="240" w:lineRule="auto"/>
              <w:jc w:val="center"/>
              <w:rPr>
                <w:rFonts w:eastAsia="Times New Roman"/>
                <w:color w:val="000000"/>
                <w:sz w:val="20"/>
                <w:szCs w:val="20"/>
              </w:rPr>
            </w:pPr>
            <w:r>
              <w:rPr>
                <w:rFonts w:eastAsia="Times New Roman"/>
                <w:color w:val="000000"/>
                <w:sz w:val="20"/>
                <w:szCs w:val="20"/>
              </w:rPr>
              <w:t>t</w:t>
            </w:r>
            <w:r w:rsidR="0010297E" w:rsidRPr="0010297E">
              <w:rPr>
                <w:rFonts w:eastAsia="Times New Roman"/>
                <w:color w:val="000000"/>
                <w:sz w:val="20"/>
                <w:szCs w:val="20"/>
              </w:rPr>
              <w:t>-</w:t>
            </w:r>
            <w:r>
              <w:rPr>
                <w:rFonts w:eastAsia="Times New Roman"/>
                <w:color w:val="000000"/>
                <w:sz w:val="20"/>
                <w:szCs w:val="20"/>
              </w:rPr>
              <w:t>t</w:t>
            </w:r>
            <w:r w:rsidR="0010297E" w:rsidRPr="0010297E">
              <w:rPr>
                <w:rFonts w:eastAsia="Times New Roman"/>
                <w:color w:val="000000"/>
                <w:sz w:val="20"/>
                <w:szCs w:val="20"/>
              </w:rPr>
              <w:t>est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i/>
                <w:iCs/>
                <w:color w:val="000000"/>
                <w:sz w:val="22"/>
                <w:szCs w:val="22"/>
              </w:rPr>
            </w:pPr>
            <w:r w:rsidRPr="0010297E">
              <w:rPr>
                <w:rFonts w:eastAsia="Times New Roman"/>
                <w:i/>
                <w:iCs/>
                <w:color w:val="000000"/>
                <w:sz w:val="22"/>
                <w:szCs w:val="22"/>
              </w:rPr>
              <w:t>Outcomes</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0"/>
                <w:szCs w:val="20"/>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School Attendance:</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0"/>
                <w:szCs w:val="20"/>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None</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0.3539</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0.4784</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0.2946</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0.4562</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0.4425</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0.4973</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All school-aged children</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0.4078</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0.4917</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0.455</w:t>
            </w:r>
            <w:r w:rsidR="005B7C00">
              <w:rPr>
                <w:rFonts w:eastAsia="Times New Roman"/>
                <w:color w:val="000000"/>
                <w:sz w:val="22"/>
                <w:szCs w:val="22"/>
              </w:rPr>
              <w:t>0</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0.4984</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0.3374</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0.4734</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Only school-aged boys</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0.2029</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0.4024</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0.2111</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0.4084</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0.1907</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0.3933</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Food Insecurity:</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Never</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0.1951</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0.3965</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0.2357</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0.4248</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0.1345</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0.3416</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Rarely (1-2 times/month)</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0.4382</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0.4964</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0.4239</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0.4946</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0.4597</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0.499</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Often (&gt;3 times/month)</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0.3667</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0.4821</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0.3404</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0.4742</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0.4059</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0.4917</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5B7C00"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Dietary Diversity </w:t>
            </w:r>
          </w:p>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(times eaten meat/week)</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0.9725</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1.3221</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1.1178</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1.4573</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0.7555</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1.0543</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i/>
                <w:iCs/>
                <w:color w:val="000000"/>
                <w:sz w:val="22"/>
                <w:szCs w:val="22"/>
              </w:rPr>
            </w:pPr>
            <w:r w:rsidRPr="0010297E">
              <w:rPr>
                <w:rFonts w:eastAsia="Times New Roman"/>
                <w:i/>
                <w:iCs/>
                <w:color w:val="000000"/>
                <w:sz w:val="22"/>
                <w:szCs w:val="22"/>
              </w:rPr>
              <w:t>Household-level Covariates</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i/>
                <w:iCs/>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5B7C00">
            <w:pPr>
              <w:spacing w:line="240" w:lineRule="auto"/>
              <w:rPr>
                <w:rFonts w:eastAsia="Times New Roman"/>
                <w:color w:val="000000"/>
                <w:sz w:val="22"/>
                <w:szCs w:val="22"/>
              </w:rPr>
            </w:pPr>
            <w:r w:rsidRPr="0010297E">
              <w:rPr>
                <w:rFonts w:eastAsia="Times New Roman"/>
                <w:color w:val="000000"/>
                <w:sz w:val="22"/>
                <w:szCs w:val="22"/>
              </w:rPr>
              <w:t xml:space="preserve">Age of </w:t>
            </w:r>
            <w:r w:rsidR="005B7C00">
              <w:rPr>
                <w:rFonts w:eastAsia="Times New Roman"/>
                <w:color w:val="000000"/>
                <w:sz w:val="22"/>
                <w:szCs w:val="22"/>
              </w:rPr>
              <w:t>r</w:t>
            </w:r>
            <w:r w:rsidRPr="0010297E">
              <w:rPr>
                <w:rFonts w:eastAsia="Times New Roman"/>
                <w:color w:val="000000"/>
                <w:sz w:val="22"/>
                <w:szCs w:val="22"/>
              </w:rPr>
              <w:t>espondent</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37.74</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14.09</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37.64</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14.12</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37.89</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14.06</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5B7C00">
            <w:pPr>
              <w:spacing w:line="240" w:lineRule="auto"/>
              <w:rPr>
                <w:rFonts w:eastAsia="Times New Roman"/>
                <w:color w:val="000000"/>
                <w:sz w:val="22"/>
                <w:szCs w:val="22"/>
              </w:rPr>
            </w:pPr>
            <w:r w:rsidRPr="0010297E">
              <w:rPr>
                <w:rFonts w:eastAsia="Times New Roman"/>
                <w:color w:val="000000"/>
                <w:sz w:val="22"/>
                <w:szCs w:val="22"/>
              </w:rPr>
              <w:t xml:space="preserve">No </w:t>
            </w:r>
            <w:r w:rsidR="005B7C00">
              <w:rPr>
                <w:rFonts w:eastAsia="Times New Roman"/>
                <w:color w:val="000000"/>
                <w:sz w:val="22"/>
                <w:szCs w:val="22"/>
              </w:rPr>
              <w:t>f</w:t>
            </w:r>
            <w:r w:rsidRPr="0010297E">
              <w:rPr>
                <w:rFonts w:eastAsia="Times New Roman"/>
                <w:color w:val="000000"/>
                <w:sz w:val="22"/>
                <w:szCs w:val="22"/>
              </w:rPr>
              <w:t xml:space="preserve">ormal </w:t>
            </w:r>
            <w:r w:rsidR="005B7C00">
              <w:rPr>
                <w:rFonts w:eastAsia="Times New Roman"/>
                <w:color w:val="000000"/>
                <w:sz w:val="22"/>
                <w:szCs w:val="22"/>
              </w:rPr>
              <w:t>e</w:t>
            </w:r>
            <w:r w:rsidRPr="0010297E">
              <w:rPr>
                <w:rFonts w:eastAsia="Times New Roman"/>
                <w:color w:val="000000"/>
                <w:sz w:val="22"/>
                <w:szCs w:val="22"/>
              </w:rPr>
              <w:t>ducation</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0.8265</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0.3789</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0.8200</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0.3845</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0.8362</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0.3706</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Married</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0.8510</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0.3563</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0.8167</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0.3872</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0.9022</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0.2974</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5B7C00">
            <w:pPr>
              <w:spacing w:line="240" w:lineRule="auto"/>
              <w:rPr>
                <w:rFonts w:eastAsia="Times New Roman"/>
                <w:color w:val="000000"/>
                <w:sz w:val="22"/>
                <w:szCs w:val="22"/>
              </w:rPr>
            </w:pPr>
            <w:r w:rsidRPr="0010297E">
              <w:rPr>
                <w:rFonts w:eastAsia="Times New Roman"/>
                <w:color w:val="000000"/>
                <w:sz w:val="22"/>
                <w:szCs w:val="22"/>
              </w:rPr>
              <w:t xml:space="preserve">Number of </w:t>
            </w:r>
            <w:r w:rsidR="005B7C00">
              <w:rPr>
                <w:rFonts w:eastAsia="Times New Roman"/>
                <w:color w:val="000000"/>
                <w:sz w:val="22"/>
                <w:szCs w:val="22"/>
              </w:rPr>
              <w:t>c</w:t>
            </w:r>
            <w:r w:rsidRPr="0010297E">
              <w:rPr>
                <w:rFonts w:eastAsia="Times New Roman"/>
                <w:color w:val="000000"/>
                <w:sz w:val="22"/>
                <w:szCs w:val="22"/>
              </w:rPr>
              <w:t>hildren</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5.20</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3.07</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5.25</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3.04</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5.11</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3.11</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lastRenderedPageBreak/>
              <w:t>Disabled</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0.2225</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0.4162</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0.2013</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0.4013</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0.2543</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0.4360</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5B7C00">
            <w:pPr>
              <w:spacing w:line="240" w:lineRule="auto"/>
              <w:rPr>
                <w:rFonts w:eastAsia="Times New Roman"/>
                <w:color w:val="000000"/>
                <w:sz w:val="22"/>
                <w:szCs w:val="22"/>
              </w:rPr>
            </w:pPr>
            <w:r w:rsidRPr="0010297E">
              <w:rPr>
                <w:rFonts w:eastAsia="Times New Roman"/>
                <w:color w:val="000000"/>
                <w:sz w:val="22"/>
                <w:szCs w:val="22"/>
              </w:rPr>
              <w:t xml:space="preserve">Log of HH </w:t>
            </w:r>
            <w:r w:rsidR="005B7C00">
              <w:rPr>
                <w:rFonts w:eastAsia="Times New Roman"/>
                <w:color w:val="000000"/>
                <w:sz w:val="22"/>
                <w:szCs w:val="22"/>
              </w:rPr>
              <w:t>i</w:t>
            </w:r>
            <w:r w:rsidRPr="0010297E">
              <w:rPr>
                <w:rFonts w:eastAsia="Times New Roman"/>
                <w:color w:val="000000"/>
                <w:sz w:val="22"/>
                <w:szCs w:val="22"/>
              </w:rPr>
              <w:t>ncome</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3.5692</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0.6106</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3.5972</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0.6206</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3.5275</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0.5935</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5B7C00" w:rsidP="0010297E">
            <w:pPr>
              <w:spacing w:line="240" w:lineRule="auto"/>
              <w:rPr>
                <w:rFonts w:eastAsia="Times New Roman"/>
                <w:color w:val="000000"/>
                <w:sz w:val="22"/>
                <w:szCs w:val="22"/>
              </w:rPr>
            </w:pPr>
            <w:r>
              <w:rPr>
                <w:rFonts w:eastAsia="Times New Roman"/>
                <w:color w:val="000000"/>
                <w:sz w:val="22"/>
                <w:szCs w:val="22"/>
              </w:rPr>
              <w:t>Received a</w:t>
            </w:r>
            <w:r w:rsidR="0010297E" w:rsidRPr="0010297E">
              <w:rPr>
                <w:rFonts w:eastAsia="Times New Roman"/>
                <w:color w:val="000000"/>
                <w:sz w:val="22"/>
                <w:szCs w:val="22"/>
              </w:rPr>
              <w:t>ssistance</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0.4500</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0.4977</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0.3797</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0.4857</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0.5550</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0.4976</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iCs/>
                <w:color w:val="000000"/>
                <w:sz w:val="22"/>
                <w:szCs w:val="22"/>
              </w:rPr>
            </w:pPr>
            <w:r w:rsidRPr="0010297E">
              <w:rPr>
                <w:rFonts w:eastAsia="Times New Roman"/>
                <w:iCs/>
                <w:color w:val="000000"/>
                <w:sz w:val="22"/>
                <w:szCs w:val="22"/>
              </w:rPr>
              <w:t>Ethnicity</w:t>
            </w:r>
            <w:r w:rsidR="00491DB1">
              <w:rPr>
                <w:rFonts w:eastAsia="Times New Roman"/>
                <w:iCs/>
                <w:color w:val="000000"/>
                <w:sz w:val="22"/>
                <w:szCs w:val="22"/>
              </w:rPr>
              <w:t>:</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6C4D6E" w:rsidP="0010297E">
            <w:pPr>
              <w:spacing w:line="240" w:lineRule="auto"/>
              <w:rPr>
                <w:rFonts w:eastAsia="Times New Roman"/>
                <w:color w:val="000000"/>
                <w:sz w:val="22"/>
                <w:szCs w:val="22"/>
              </w:rPr>
            </w:pPr>
            <w:r>
              <w:rPr>
                <w:rFonts w:eastAsia="Times New Roman"/>
                <w:color w:val="000000"/>
                <w:sz w:val="22"/>
                <w:szCs w:val="22"/>
              </w:rPr>
              <w:t xml:space="preserve">    </w:t>
            </w:r>
            <w:r w:rsidR="0010297E" w:rsidRPr="0010297E">
              <w:rPr>
                <w:rFonts w:eastAsia="Times New Roman"/>
                <w:color w:val="000000"/>
                <w:sz w:val="22"/>
                <w:szCs w:val="22"/>
              </w:rPr>
              <w:t>Pashtun</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0.6255</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0.4842</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0.6072</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0.4888</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0.6528</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0.4767</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6C4D6E" w:rsidP="0010297E">
            <w:pPr>
              <w:spacing w:line="240" w:lineRule="auto"/>
              <w:rPr>
                <w:rFonts w:eastAsia="Times New Roman"/>
                <w:color w:val="000000"/>
                <w:sz w:val="22"/>
                <w:szCs w:val="22"/>
              </w:rPr>
            </w:pPr>
            <w:r>
              <w:rPr>
                <w:rFonts w:eastAsia="Times New Roman"/>
                <w:color w:val="000000"/>
                <w:sz w:val="22"/>
                <w:szCs w:val="22"/>
              </w:rPr>
              <w:t xml:space="preserve">    </w:t>
            </w:r>
            <w:r w:rsidR="0010297E" w:rsidRPr="0010297E">
              <w:rPr>
                <w:rFonts w:eastAsia="Times New Roman"/>
                <w:color w:val="000000"/>
                <w:sz w:val="22"/>
                <w:szCs w:val="22"/>
              </w:rPr>
              <w:t>Tajik</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0.0990</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0.2988</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0.1358</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0.3429</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0.0440</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0.2054</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6C4D6E" w:rsidP="0010297E">
            <w:pPr>
              <w:spacing w:line="240" w:lineRule="auto"/>
              <w:rPr>
                <w:rFonts w:eastAsia="Times New Roman"/>
                <w:color w:val="000000"/>
                <w:sz w:val="22"/>
                <w:szCs w:val="22"/>
              </w:rPr>
            </w:pPr>
            <w:r>
              <w:rPr>
                <w:rFonts w:eastAsia="Times New Roman"/>
                <w:color w:val="000000"/>
                <w:sz w:val="22"/>
                <w:szCs w:val="22"/>
              </w:rPr>
              <w:t xml:space="preserve">    </w:t>
            </w:r>
            <w:r w:rsidR="0010297E" w:rsidRPr="0010297E">
              <w:rPr>
                <w:rFonts w:eastAsia="Times New Roman"/>
                <w:color w:val="000000"/>
                <w:sz w:val="22"/>
                <w:szCs w:val="22"/>
              </w:rPr>
              <w:t>Hazara</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0.0725</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0.2595</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0.0835</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0.2768</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0.0562</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0.2307</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6C4D6E" w:rsidP="0010297E">
            <w:pPr>
              <w:spacing w:line="240" w:lineRule="auto"/>
              <w:rPr>
                <w:rFonts w:eastAsia="Times New Roman"/>
                <w:color w:val="000000"/>
                <w:sz w:val="22"/>
                <w:szCs w:val="22"/>
              </w:rPr>
            </w:pPr>
            <w:r>
              <w:rPr>
                <w:rFonts w:eastAsia="Times New Roman"/>
                <w:color w:val="000000"/>
                <w:sz w:val="22"/>
                <w:szCs w:val="22"/>
              </w:rPr>
              <w:t xml:space="preserve">    </w:t>
            </w:r>
            <w:r w:rsidR="0010297E" w:rsidRPr="0010297E">
              <w:rPr>
                <w:rFonts w:eastAsia="Times New Roman"/>
                <w:color w:val="000000"/>
                <w:sz w:val="22"/>
                <w:szCs w:val="22"/>
              </w:rPr>
              <w:t>Other</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0.2029</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0.4024</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0.1735</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0.3790</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0.2469</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0.4318</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i/>
                <w:iCs/>
                <w:color w:val="000000"/>
                <w:sz w:val="22"/>
                <w:szCs w:val="22"/>
              </w:rPr>
            </w:pPr>
            <w:r w:rsidRPr="0010297E">
              <w:rPr>
                <w:rFonts w:eastAsia="Times New Roman"/>
                <w:i/>
                <w:iCs/>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i/>
                <w:iCs/>
                <w:color w:val="000000"/>
                <w:sz w:val="22"/>
                <w:szCs w:val="22"/>
              </w:rPr>
            </w:pPr>
            <w:r w:rsidRPr="0010297E">
              <w:rPr>
                <w:rFonts w:eastAsia="Times New Roman"/>
                <w:i/>
                <w:iCs/>
                <w:color w:val="000000"/>
                <w:sz w:val="22"/>
                <w:szCs w:val="22"/>
              </w:rPr>
              <w:t>Location-based FE</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5B7C00">
            <w:pPr>
              <w:spacing w:line="240" w:lineRule="auto"/>
              <w:rPr>
                <w:rFonts w:eastAsia="Times New Roman"/>
                <w:color w:val="000000"/>
                <w:sz w:val="22"/>
                <w:szCs w:val="22"/>
              </w:rPr>
            </w:pPr>
            <w:r w:rsidRPr="0010297E">
              <w:rPr>
                <w:rFonts w:eastAsia="Times New Roman"/>
                <w:color w:val="000000"/>
                <w:sz w:val="22"/>
                <w:szCs w:val="22"/>
              </w:rPr>
              <w:t xml:space="preserve">Rural </w:t>
            </w:r>
            <w:r w:rsidR="005B7C00">
              <w:rPr>
                <w:rFonts w:eastAsia="Times New Roman"/>
                <w:color w:val="000000"/>
                <w:sz w:val="22"/>
                <w:szCs w:val="22"/>
              </w:rPr>
              <w:t>l</w:t>
            </w:r>
            <w:r w:rsidRPr="0010297E">
              <w:rPr>
                <w:rFonts w:eastAsia="Times New Roman"/>
                <w:color w:val="000000"/>
                <w:sz w:val="22"/>
                <w:szCs w:val="22"/>
              </w:rPr>
              <w:t xml:space="preserve">ocation </w:t>
            </w:r>
            <w:r w:rsidR="005B7C00">
              <w:rPr>
                <w:rFonts w:eastAsia="Times New Roman"/>
                <w:color w:val="000000"/>
                <w:sz w:val="22"/>
                <w:szCs w:val="22"/>
              </w:rPr>
              <w:t>t</w:t>
            </w:r>
            <w:r w:rsidRPr="0010297E">
              <w:rPr>
                <w:rFonts w:eastAsia="Times New Roman"/>
                <w:color w:val="000000"/>
                <w:sz w:val="22"/>
                <w:szCs w:val="22"/>
              </w:rPr>
              <w:t>ype</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0.7784</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0.4155</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0.7005</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0.4584</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0.8949</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0.3071</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491DB1" w:rsidRPr="0010297E" w:rsidTr="0093428B">
        <w:trPr>
          <w:trHeight w:val="360"/>
        </w:trPr>
        <w:tc>
          <w:tcPr>
            <w:tcW w:w="1421" w:type="pct"/>
            <w:tcBorders>
              <w:top w:val="nil"/>
              <w:left w:val="nil"/>
              <w:bottom w:val="nil"/>
              <w:right w:val="nil"/>
            </w:tcBorders>
            <w:shd w:val="clear" w:color="auto" w:fill="auto"/>
            <w:noWrap/>
            <w:vAlign w:val="center"/>
          </w:tcPr>
          <w:p w:rsidR="00491DB1" w:rsidRPr="0010297E" w:rsidRDefault="00491DB1" w:rsidP="0010297E">
            <w:pPr>
              <w:spacing w:line="240" w:lineRule="auto"/>
              <w:rPr>
                <w:rFonts w:eastAsia="Times New Roman"/>
                <w:color w:val="000000"/>
                <w:sz w:val="22"/>
                <w:szCs w:val="22"/>
              </w:rPr>
            </w:pPr>
            <w:r>
              <w:rPr>
                <w:rFonts w:eastAsia="Times New Roman"/>
                <w:color w:val="000000"/>
                <w:sz w:val="22"/>
                <w:szCs w:val="22"/>
              </w:rPr>
              <w:t>Province</w:t>
            </w:r>
          </w:p>
        </w:tc>
        <w:tc>
          <w:tcPr>
            <w:tcW w:w="551" w:type="pct"/>
            <w:tcBorders>
              <w:top w:val="nil"/>
              <w:left w:val="nil"/>
              <w:bottom w:val="nil"/>
              <w:right w:val="nil"/>
            </w:tcBorders>
            <w:shd w:val="clear" w:color="auto" w:fill="auto"/>
            <w:noWrap/>
            <w:vAlign w:val="center"/>
          </w:tcPr>
          <w:p w:rsidR="00491DB1" w:rsidRPr="0010297E" w:rsidRDefault="00491DB1" w:rsidP="0010297E">
            <w:pPr>
              <w:spacing w:line="240" w:lineRule="auto"/>
              <w:jc w:val="center"/>
              <w:rPr>
                <w:rFonts w:eastAsia="Times New Roman"/>
                <w:color w:val="000000"/>
                <w:sz w:val="22"/>
                <w:szCs w:val="22"/>
              </w:rPr>
            </w:pPr>
          </w:p>
        </w:tc>
        <w:tc>
          <w:tcPr>
            <w:tcW w:w="483" w:type="pct"/>
            <w:tcBorders>
              <w:top w:val="nil"/>
              <w:left w:val="nil"/>
              <w:bottom w:val="nil"/>
              <w:right w:val="nil"/>
            </w:tcBorders>
            <w:shd w:val="clear" w:color="auto" w:fill="auto"/>
            <w:noWrap/>
            <w:vAlign w:val="center"/>
          </w:tcPr>
          <w:p w:rsidR="00491DB1" w:rsidRPr="0010297E" w:rsidRDefault="00491DB1" w:rsidP="0010297E">
            <w:pPr>
              <w:spacing w:line="240" w:lineRule="auto"/>
              <w:jc w:val="center"/>
              <w:rPr>
                <w:rFonts w:eastAsia="Times New Roman"/>
                <w:color w:val="000000"/>
                <w:sz w:val="22"/>
                <w:szCs w:val="22"/>
              </w:rPr>
            </w:pPr>
          </w:p>
        </w:tc>
        <w:tc>
          <w:tcPr>
            <w:tcW w:w="527" w:type="pct"/>
            <w:tcBorders>
              <w:top w:val="nil"/>
              <w:left w:val="nil"/>
              <w:bottom w:val="nil"/>
              <w:right w:val="nil"/>
            </w:tcBorders>
            <w:shd w:val="clear" w:color="auto" w:fill="auto"/>
            <w:noWrap/>
            <w:vAlign w:val="center"/>
          </w:tcPr>
          <w:p w:rsidR="00491DB1" w:rsidRPr="0010297E" w:rsidRDefault="00491DB1" w:rsidP="0010297E">
            <w:pPr>
              <w:spacing w:line="240" w:lineRule="auto"/>
              <w:jc w:val="center"/>
              <w:rPr>
                <w:rFonts w:eastAsia="Times New Roman"/>
                <w:color w:val="000000"/>
                <w:sz w:val="22"/>
                <w:szCs w:val="22"/>
              </w:rPr>
            </w:pPr>
          </w:p>
        </w:tc>
        <w:tc>
          <w:tcPr>
            <w:tcW w:w="506" w:type="pct"/>
            <w:tcBorders>
              <w:top w:val="nil"/>
              <w:left w:val="nil"/>
              <w:bottom w:val="nil"/>
              <w:right w:val="nil"/>
            </w:tcBorders>
            <w:shd w:val="clear" w:color="auto" w:fill="auto"/>
            <w:noWrap/>
            <w:vAlign w:val="center"/>
          </w:tcPr>
          <w:p w:rsidR="00491DB1" w:rsidRPr="0010297E" w:rsidRDefault="00491DB1" w:rsidP="0010297E">
            <w:pPr>
              <w:spacing w:line="240" w:lineRule="auto"/>
              <w:jc w:val="center"/>
              <w:rPr>
                <w:rFonts w:eastAsia="Times New Roman"/>
                <w:color w:val="000000"/>
                <w:sz w:val="22"/>
                <w:szCs w:val="22"/>
              </w:rPr>
            </w:pPr>
          </w:p>
        </w:tc>
        <w:tc>
          <w:tcPr>
            <w:tcW w:w="562" w:type="pct"/>
            <w:tcBorders>
              <w:top w:val="nil"/>
              <w:left w:val="nil"/>
              <w:bottom w:val="nil"/>
              <w:right w:val="nil"/>
            </w:tcBorders>
            <w:shd w:val="clear" w:color="auto" w:fill="auto"/>
            <w:noWrap/>
            <w:vAlign w:val="center"/>
          </w:tcPr>
          <w:p w:rsidR="00491DB1" w:rsidRPr="0010297E" w:rsidRDefault="00491DB1" w:rsidP="0010297E">
            <w:pPr>
              <w:spacing w:line="240" w:lineRule="auto"/>
              <w:jc w:val="center"/>
              <w:rPr>
                <w:rFonts w:eastAsia="Times New Roman"/>
                <w:color w:val="000000"/>
                <w:sz w:val="22"/>
                <w:szCs w:val="22"/>
              </w:rPr>
            </w:pPr>
          </w:p>
        </w:tc>
        <w:tc>
          <w:tcPr>
            <w:tcW w:w="519" w:type="pct"/>
            <w:tcBorders>
              <w:top w:val="nil"/>
              <w:left w:val="nil"/>
              <w:bottom w:val="nil"/>
              <w:right w:val="nil"/>
            </w:tcBorders>
            <w:shd w:val="clear" w:color="auto" w:fill="auto"/>
            <w:noWrap/>
            <w:vAlign w:val="center"/>
          </w:tcPr>
          <w:p w:rsidR="00491DB1" w:rsidRPr="0010297E" w:rsidRDefault="00491DB1" w:rsidP="0010297E">
            <w:pPr>
              <w:spacing w:line="240" w:lineRule="auto"/>
              <w:jc w:val="center"/>
              <w:rPr>
                <w:rFonts w:eastAsia="Times New Roman"/>
                <w:color w:val="000000"/>
                <w:sz w:val="22"/>
                <w:szCs w:val="22"/>
              </w:rPr>
            </w:pPr>
          </w:p>
        </w:tc>
        <w:tc>
          <w:tcPr>
            <w:tcW w:w="431" w:type="pct"/>
            <w:tcBorders>
              <w:top w:val="nil"/>
              <w:left w:val="nil"/>
              <w:bottom w:val="nil"/>
              <w:right w:val="nil"/>
            </w:tcBorders>
            <w:shd w:val="clear" w:color="auto" w:fill="auto"/>
            <w:noWrap/>
            <w:vAlign w:val="center"/>
          </w:tcPr>
          <w:p w:rsidR="00491DB1" w:rsidRPr="0010297E" w:rsidRDefault="00491DB1"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Kabul</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0.0520</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0.2221</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0.0524</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0.2230</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0.0513</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0.2210</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w:t>
            </w:r>
            <w:proofErr w:type="spellStart"/>
            <w:r w:rsidRPr="0010297E">
              <w:rPr>
                <w:rFonts w:eastAsia="Times New Roman"/>
                <w:color w:val="000000"/>
                <w:sz w:val="22"/>
                <w:szCs w:val="22"/>
              </w:rPr>
              <w:t>Parwan</w:t>
            </w:r>
            <w:proofErr w:type="spellEnd"/>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0.0216</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0.1453</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0.0164</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0.1270</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0.0293</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0.1690</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w:t>
            </w:r>
            <w:proofErr w:type="spellStart"/>
            <w:r w:rsidRPr="0010297E">
              <w:rPr>
                <w:rFonts w:eastAsia="Times New Roman"/>
                <w:color w:val="000000"/>
                <w:sz w:val="22"/>
                <w:szCs w:val="22"/>
              </w:rPr>
              <w:t>Bamyan</w:t>
            </w:r>
            <w:proofErr w:type="spellEnd"/>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0.0069</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0.0826</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0.0049</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0.0700</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0.0098</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0.0985</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w:t>
            </w:r>
            <w:proofErr w:type="spellStart"/>
            <w:r w:rsidRPr="0010297E">
              <w:rPr>
                <w:rFonts w:eastAsia="Times New Roman"/>
                <w:color w:val="000000"/>
                <w:sz w:val="22"/>
                <w:szCs w:val="22"/>
              </w:rPr>
              <w:t>Laghman</w:t>
            </w:r>
            <w:proofErr w:type="spellEnd"/>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0.0598</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0.2372</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0.0917</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0.2888</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0.0122</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0.1100</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Nangarhar</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0.3147</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0.4646</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0.4124</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0.4927</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0.1687</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0.3749</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Balkh</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0.0333</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0.1796</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0.0491</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0.2163</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0.0098</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0.0985</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w:t>
            </w:r>
            <w:proofErr w:type="spellStart"/>
            <w:r w:rsidRPr="0010297E">
              <w:rPr>
                <w:rFonts w:eastAsia="Times New Roman"/>
                <w:color w:val="000000"/>
                <w:sz w:val="22"/>
                <w:szCs w:val="22"/>
              </w:rPr>
              <w:t>Faryab</w:t>
            </w:r>
            <w:proofErr w:type="spellEnd"/>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0.0725</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0.2595</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0.0360</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0.1865</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0.1271</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0.3335</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w:t>
            </w:r>
            <w:proofErr w:type="spellStart"/>
            <w:r w:rsidRPr="0010297E">
              <w:rPr>
                <w:rFonts w:eastAsia="Times New Roman"/>
                <w:color w:val="000000"/>
                <w:sz w:val="22"/>
                <w:szCs w:val="22"/>
              </w:rPr>
              <w:t>Jawzjan</w:t>
            </w:r>
            <w:proofErr w:type="spellEnd"/>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0.0402</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0.1965</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0.0524</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0.2230</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0.0220</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0.1469</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Sari </w:t>
            </w:r>
            <w:proofErr w:type="spellStart"/>
            <w:r w:rsidRPr="0010297E">
              <w:rPr>
                <w:rFonts w:eastAsia="Times New Roman"/>
                <w:color w:val="000000"/>
                <w:sz w:val="22"/>
                <w:szCs w:val="22"/>
              </w:rPr>
              <w:t>Pul</w:t>
            </w:r>
            <w:proofErr w:type="spellEnd"/>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0.0118</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0.1079</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0.0180</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0.1331</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0.0024</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0.0494</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Kunduz</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0.0245</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0.1547</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0.0245</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0.1549</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0.0244</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0.1546</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w:t>
            </w:r>
            <w:proofErr w:type="spellStart"/>
            <w:r w:rsidRPr="0010297E">
              <w:rPr>
                <w:rFonts w:eastAsia="Times New Roman"/>
                <w:color w:val="000000"/>
                <w:sz w:val="22"/>
                <w:szCs w:val="22"/>
              </w:rPr>
              <w:t>Takhar</w:t>
            </w:r>
            <w:proofErr w:type="spellEnd"/>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0.0559</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0.2298</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0.0164</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0.1270</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0.1149</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0.3193</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Helmand</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0.0931</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0.2908</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0.0409</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0.1983</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0.1711</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0.3771</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Kandahar</w:t>
            </w:r>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0.0706</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0.2563</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0.0491</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0.2163</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0.1027</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0.3039</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w:t>
            </w:r>
            <w:proofErr w:type="spellStart"/>
            <w:r w:rsidRPr="0010297E">
              <w:rPr>
                <w:rFonts w:eastAsia="Times New Roman"/>
                <w:color w:val="000000"/>
                <w:sz w:val="22"/>
                <w:szCs w:val="22"/>
              </w:rPr>
              <w:t>Paktya</w:t>
            </w:r>
            <w:proofErr w:type="spellEnd"/>
          </w:p>
        </w:tc>
        <w:tc>
          <w:tcPr>
            <w:tcW w:w="55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0.0314</w:t>
            </w:r>
          </w:p>
        </w:tc>
        <w:tc>
          <w:tcPr>
            <w:tcW w:w="483"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0.1744</w:t>
            </w:r>
          </w:p>
        </w:tc>
        <w:tc>
          <w:tcPr>
            <w:tcW w:w="527"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0.0475</w:t>
            </w:r>
          </w:p>
        </w:tc>
        <w:tc>
          <w:tcPr>
            <w:tcW w:w="506"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0.2128</w:t>
            </w:r>
          </w:p>
        </w:tc>
        <w:tc>
          <w:tcPr>
            <w:tcW w:w="562"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0.0073</w:t>
            </w:r>
          </w:p>
        </w:tc>
        <w:tc>
          <w:tcPr>
            <w:tcW w:w="519"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0.0854</w:t>
            </w:r>
          </w:p>
        </w:tc>
        <w:tc>
          <w:tcPr>
            <w:tcW w:w="431" w:type="pct"/>
            <w:tcBorders>
              <w:top w:val="nil"/>
              <w:left w:val="nil"/>
              <w:bottom w:val="nil"/>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5B7C00" w:rsidRPr="0010297E" w:rsidTr="0093428B">
        <w:trPr>
          <w:trHeight w:val="360"/>
        </w:trPr>
        <w:tc>
          <w:tcPr>
            <w:tcW w:w="1421" w:type="pct"/>
            <w:tcBorders>
              <w:top w:val="nil"/>
              <w:left w:val="nil"/>
              <w:bottom w:val="single" w:sz="4" w:space="0" w:color="auto"/>
              <w:right w:val="nil"/>
            </w:tcBorders>
            <w:shd w:val="clear" w:color="auto" w:fill="auto"/>
            <w:noWrap/>
            <w:vAlign w:val="center"/>
            <w:hideMark/>
          </w:tcPr>
          <w:p w:rsidR="0010297E" w:rsidRPr="0010297E" w:rsidRDefault="0010297E" w:rsidP="0010297E">
            <w:pPr>
              <w:spacing w:line="240" w:lineRule="auto"/>
              <w:rPr>
                <w:rFonts w:eastAsia="Times New Roman"/>
                <w:color w:val="000000"/>
                <w:sz w:val="22"/>
                <w:szCs w:val="22"/>
              </w:rPr>
            </w:pPr>
            <w:r w:rsidRPr="0010297E">
              <w:rPr>
                <w:rFonts w:eastAsia="Times New Roman"/>
                <w:color w:val="000000"/>
                <w:sz w:val="22"/>
                <w:szCs w:val="22"/>
              </w:rPr>
              <w:t xml:space="preserve">    Herat</w:t>
            </w:r>
          </w:p>
        </w:tc>
        <w:tc>
          <w:tcPr>
            <w:tcW w:w="551" w:type="pct"/>
            <w:tcBorders>
              <w:top w:val="nil"/>
              <w:left w:val="nil"/>
              <w:bottom w:val="single" w:sz="4" w:space="0" w:color="auto"/>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0.1118</w:t>
            </w:r>
          </w:p>
        </w:tc>
        <w:tc>
          <w:tcPr>
            <w:tcW w:w="483" w:type="pct"/>
            <w:tcBorders>
              <w:top w:val="nil"/>
              <w:left w:val="nil"/>
              <w:bottom w:val="single" w:sz="4" w:space="0" w:color="auto"/>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0.3152</w:t>
            </w:r>
          </w:p>
        </w:tc>
        <w:tc>
          <w:tcPr>
            <w:tcW w:w="527" w:type="pct"/>
            <w:tcBorders>
              <w:top w:val="nil"/>
              <w:left w:val="nil"/>
              <w:bottom w:val="single" w:sz="4" w:space="0" w:color="auto"/>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0.0884</w:t>
            </w:r>
          </w:p>
        </w:tc>
        <w:tc>
          <w:tcPr>
            <w:tcW w:w="506" w:type="pct"/>
            <w:tcBorders>
              <w:top w:val="nil"/>
              <w:left w:val="nil"/>
              <w:bottom w:val="single" w:sz="4" w:space="0" w:color="auto"/>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0.2841</w:t>
            </w:r>
          </w:p>
        </w:tc>
        <w:tc>
          <w:tcPr>
            <w:tcW w:w="562" w:type="pct"/>
            <w:tcBorders>
              <w:top w:val="nil"/>
              <w:left w:val="nil"/>
              <w:bottom w:val="single" w:sz="4" w:space="0" w:color="auto"/>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0.1467</w:t>
            </w:r>
          </w:p>
        </w:tc>
        <w:tc>
          <w:tcPr>
            <w:tcW w:w="519" w:type="pct"/>
            <w:tcBorders>
              <w:top w:val="nil"/>
              <w:left w:val="nil"/>
              <w:bottom w:val="single" w:sz="4" w:space="0" w:color="auto"/>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0.3542</w:t>
            </w:r>
          </w:p>
        </w:tc>
        <w:tc>
          <w:tcPr>
            <w:tcW w:w="431" w:type="pct"/>
            <w:tcBorders>
              <w:top w:val="nil"/>
              <w:left w:val="nil"/>
              <w:bottom w:val="single" w:sz="4" w:space="0" w:color="auto"/>
              <w:right w:val="nil"/>
            </w:tcBorders>
            <w:shd w:val="clear" w:color="auto" w:fill="auto"/>
            <w:noWrap/>
            <w:vAlign w:val="center"/>
            <w:hideMark/>
          </w:tcPr>
          <w:p w:rsidR="0010297E" w:rsidRPr="0010297E" w:rsidRDefault="0010297E" w:rsidP="0010297E">
            <w:pPr>
              <w:spacing w:line="240" w:lineRule="auto"/>
              <w:jc w:val="center"/>
              <w:rPr>
                <w:rFonts w:eastAsia="Times New Roman"/>
                <w:color w:val="000000"/>
                <w:sz w:val="22"/>
                <w:szCs w:val="22"/>
              </w:rPr>
            </w:pPr>
            <w:r w:rsidRPr="0010297E">
              <w:rPr>
                <w:rFonts w:eastAsia="Times New Roman"/>
                <w:color w:val="000000"/>
                <w:sz w:val="22"/>
                <w:szCs w:val="22"/>
              </w:rPr>
              <w:t>**</w:t>
            </w:r>
          </w:p>
        </w:tc>
      </w:tr>
      <w:tr w:rsidR="0010297E" w:rsidRPr="0010297E" w:rsidTr="0093428B">
        <w:trPr>
          <w:trHeight w:val="360"/>
        </w:trPr>
        <w:tc>
          <w:tcPr>
            <w:tcW w:w="5000" w:type="pct"/>
            <w:gridSpan w:val="8"/>
            <w:tcBorders>
              <w:top w:val="single" w:sz="4" w:space="0" w:color="auto"/>
              <w:left w:val="nil"/>
              <w:bottom w:val="nil"/>
              <w:right w:val="nil"/>
            </w:tcBorders>
            <w:shd w:val="clear" w:color="auto" w:fill="auto"/>
            <w:noWrap/>
            <w:vAlign w:val="center"/>
            <w:hideMark/>
          </w:tcPr>
          <w:p w:rsidR="0010297E" w:rsidRPr="0010297E" w:rsidRDefault="0010297E" w:rsidP="0010297E">
            <w:pPr>
              <w:spacing w:line="240" w:lineRule="auto"/>
              <w:rPr>
                <w:rFonts w:eastAsia="Times New Roman"/>
                <w:i/>
                <w:iCs/>
                <w:color w:val="000000"/>
                <w:sz w:val="20"/>
                <w:szCs w:val="20"/>
              </w:rPr>
            </w:pPr>
            <w:r w:rsidRPr="00F74E3C">
              <w:rPr>
                <w:rFonts w:eastAsia="Times New Roman"/>
                <w:iCs/>
                <w:color w:val="000000"/>
                <w:sz w:val="20"/>
                <w:szCs w:val="20"/>
              </w:rPr>
              <w:t>Note</w:t>
            </w:r>
            <w:r w:rsidRPr="0010297E">
              <w:rPr>
                <w:rFonts w:eastAsia="Times New Roman"/>
                <w:color w:val="000000"/>
                <w:sz w:val="20"/>
                <w:szCs w:val="20"/>
              </w:rPr>
              <w:t>: * 0.10, ** 0.05, *** 0.01.</w:t>
            </w:r>
          </w:p>
        </w:tc>
      </w:tr>
    </w:tbl>
    <w:p w:rsidR="0010297E" w:rsidRDefault="0010297E" w:rsidP="009F6424">
      <w:pPr>
        <w:spacing w:line="480" w:lineRule="auto"/>
        <w:jc w:val="both"/>
      </w:pPr>
    </w:p>
    <w:p w:rsidR="006C4D6E" w:rsidRDefault="001C64AE" w:rsidP="006C4D6E">
      <w:pPr>
        <w:spacing w:line="480" w:lineRule="auto"/>
        <w:jc w:val="both"/>
      </w:pPr>
      <w:r>
        <w:t>As for covariates,</w:t>
      </w:r>
      <w:r w:rsidR="006C4D6E">
        <w:t xml:space="preserve"> we take into account an array of household-level factors including the age of the adult respondent (i.e. household head or spouse), whether they had received any formal education, whether the household head was married, the number of children in the household, whether the household had a physically or mentally disabled member, the log of monthly income per capita and whether they had received formal assistance from a NGO, government or </w:t>
      </w:r>
      <w:r w:rsidR="006C4D6E">
        <w:lastRenderedPageBreak/>
        <w:t>international organization. Furthermore we control for ethnicity of the household and consider location-based fixed effects including rural location type and province.</w:t>
      </w:r>
    </w:p>
    <w:p w:rsidR="006C4D6E" w:rsidRDefault="006C4D6E" w:rsidP="001C64AE">
      <w:pPr>
        <w:spacing w:line="480" w:lineRule="auto"/>
        <w:jc w:val="both"/>
      </w:pPr>
    </w:p>
    <w:p w:rsidR="001F111A" w:rsidRDefault="005B7C00" w:rsidP="001C64AE">
      <w:pPr>
        <w:spacing w:line="480" w:lineRule="auto"/>
        <w:jc w:val="both"/>
      </w:pPr>
      <w:r>
        <w:t>Table 1</w:t>
      </w:r>
      <w:r w:rsidR="00BE1FBE">
        <w:t xml:space="preserve"> illustrates the fact that non-</w:t>
      </w:r>
      <w:r>
        <w:t xml:space="preserve">displaced </w:t>
      </w:r>
      <w:r w:rsidR="00BE1FBE">
        <w:t xml:space="preserve">and internally displaced </w:t>
      </w:r>
      <w:r w:rsidR="00800185">
        <w:t xml:space="preserve">households </w:t>
      </w:r>
      <w:r w:rsidR="00BE1FBE">
        <w:t xml:space="preserve">are similar in a </w:t>
      </w:r>
      <w:r w:rsidR="00BE1FBE" w:rsidRPr="00701580">
        <w:t xml:space="preserve">number of ways </w:t>
      </w:r>
      <w:r w:rsidR="00800185" w:rsidRPr="00701580">
        <w:t xml:space="preserve">including </w:t>
      </w:r>
      <w:r w:rsidR="00701580" w:rsidRPr="00701580">
        <w:t xml:space="preserve">the fact that </w:t>
      </w:r>
      <w:r w:rsidR="00800185" w:rsidRPr="00701580">
        <w:t xml:space="preserve">most </w:t>
      </w:r>
      <w:r w:rsidR="006C4D6E" w:rsidRPr="00701580">
        <w:t>adult respondents</w:t>
      </w:r>
      <w:r w:rsidR="001C64AE" w:rsidRPr="00701580">
        <w:t xml:space="preserve"> </w:t>
      </w:r>
      <w:r w:rsidR="00EF15D0" w:rsidRPr="00701580">
        <w:t xml:space="preserve">have </w:t>
      </w:r>
      <w:r w:rsidR="00800185" w:rsidRPr="00701580">
        <w:t xml:space="preserve">no formal </w:t>
      </w:r>
      <w:r w:rsidR="00BE1FBE" w:rsidRPr="00701580">
        <w:t xml:space="preserve">education, </w:t>
      </w:r>
      <w:r w:rsidR="00EF15D0" w:rsidRPr="00701580">
        <w:t>they</w:t>
      </w:r>
      <w:r w:rsidR="00EF15D0">
        <w:t xml:space="preserve"> have around the same </w:t>
      </w:r>
      <w:r w:rsidR="00BE1FBE">
        <w:t>number of children</w:t>
      </w:r>
      <w:r w:rsidR="00800185">
        <w:t xml:space="preserve"> and </w:t>
      </w:r>
      <w:r w:rsidR="006C4D6E">
        <w:t>similar</w:t>
      </w:r>
      <w:r w:rsidR="00EF15D0">
        <w:t xml:space="preserve"> </w:t>
      </w:r>
      <w:r w:rsidR="006C4D6E">
        <w:t xml:space="preserve">wealth levels based on the log </w:t>
      </w:r>
      <w:r w:rsidR="00EF15D0">
        <w:t xml:space="preserve">of </w:t>
      </w:r>
      <w:r w:rsidR="00800185">
        <w:t>monthly income</w:t>
      </w:r>
      <w:r w:rsidR="00BE1FBE">
        <w:t xml:space="preserve">. </w:t>
      </w:r>
      <w:r w:rsidR="00EF15D0">
        <w:t xml:space="preserve">On the other hand, they differ in that </w:t>
      </w:r>
      <w:r w:rsidR="00BE1FBE">
        <w:t xml:space="preserve">displaced </w:t>
      </w:r>
      <w:r w:rsidR="00027BA5">
        <w:t xml:space="preserve">households </w:t>
      </w:r>
      <w:r w:rsidR="00EF15D0">
        <w:t xml:space="preserve">are </w:t>
      </w:r>
      <w:r w:rsidR="00BE1FBE">
        <w:t xml:space="preserve">slightly more likely to </w:t>
      </w:r>
      <w:r w:rsidR="001C64AE">
        <w:t xml:space="preserve">have a </w:t>
      </w:r>
      <w:r w:rsidR="00BE1FBE">
        <w:t xml:space="preserve">married </w:t>
      </w:r>
      <w:r w:rsidR="00027BA5">
        <w:t>household head</w:t>
      </w:r>
      <w:r w:rsidR="001C64AE">
        <w:t>,</w:t>
      </w:r>
      <w:r w:rsidR="0098297C">
        <w:t xml:space="preserve"> as well as more likely to </w:t>
      </w:r>
      <w:r w:rsidR="00EF15D0">
        <w:t xml:space="preserve">have </w:t>
      </w:r>
      <w:r w:rsidR="0098297C">
        <w:t>received formal assistance</w:t>
      </w:r>
      <w:r w:rsidR="00BE1FBE">
        <w:t xml:space="preserve">. As for ethnicity, the majority of our sample is Pashtun, similar across sub-groups. Moreover, the Tajik are less likely to be internally displaced while “other” ethnic groups on the other hand are more likely. Regarding location, most households in our sample are located in rural areas with this figure noticeable greater for the internally displaced. </w:t>
      </w:r>
      <w:r w:rsidR="001F111A">
        <w:t>Lastly in terms of provincial location, internally displaced households appear to be concentrated in much greater numbers than non-</w:t>
      </w:r>
      <w:r w:rsidR="006C4D6E">
        <w:t>displaced</w:t>
      </w:r>
      <w:r w:rsidR="001F111A">
        <w:t xml:space="preserve"> </w:t>
      </w:r>
      <w:r w:rsidR="006C4D6E">
        <w:t xml:space="preserve">households </w:t>
      </w:r>
      <w:r w:rsidR="001F111A">
        <w:t xml:space="preserve">in </w:t>
      </w:r>
      <w:proofErr w:type="spellStart"/>
      <w:r w:rsidR="001F111A">
        <w:t>Faryab</w:t>
      </w:r>
      <w:proofErr w:type="spellEnd"/>
      <w:r w:rsidR="001F111A">
        <w:t xml:space="preserve">, </w:t>
      </w:r>
      <w:proofErr w:type="spellStart"/>
      <w:r w:rsidR="001F111A">
        <w:t>Takhar</w:t>
      </w:r>
      <w:proofErr w:type="spellEnd"/>
      <w:r w:rsidR="001F111A">
        <w:t xml:space="preserve">, Helmand, Kandahar and Herat, while the opposite is true in </w:t>
      </w:r>
      <w:proofErr w:type="spellStart"/>
      <w:r w:rsidR="001F111A">
        <w:t>Laghman</w:t>
      </w:r>
      <w:proofErr w:type="spellEnd"/>
      <w:r w:rsidR="001F111A">
        <w:t xml:space="preserve">, Nangarhar, Balkh, </w:t>
      </w:r>
      <w:proofErr w:type="spellStart"/>
      <w:r w:rsidR="001F111A">
        <w:t>Jawzjan</w:t>
      </w:r>
      <w:proofErr w:type="spellEnd"/>
      <w:r w:rsidR="001F111A">
        <w:t xml:space="preserve">, Sari </w:t>
      </w:r>
      <w:proofErr w:type="spellStart"/>
      <w:r w:rsidR="001F111A">
        <w:t>Pul</w:t>
      </w:r>
      <w:proofErr w:type="spellEnd"/>
      <w:r w:rsidR="001F111A">
        <w:t xml:space="preserve"> and </w:t>
      </w:r>
      <w:proofErr w:type="spellStart"/>
      <w:r w:rsidR="001F111A">
        <w:t>Paktya</w:t>
      </w:r>
      <w:proofErr w:type="spellEnd"/>
      <w:r w:rsidR="001F111A">
        <w:t>.</w:t>
      </w:r>
    </w:p>
    <w:p w:rsidR="001C64AE" w:rsidRDefault="001C64AE" w:rsidP="009F6424">
      <w:pPr>
        <w:pStyle w:val="ListParagraph"/>
        <w:spacing w:line="480" w:lineRule="auto"/>
        <w:ind w:left="0"/>
        <w:jc w:val="both"/>
      </w:pPr>
    </w:p>
    <w:p w:rsidR="001A79F9" w:rsidRPr="006B7D90" w:rsidRDefault="001A79F9" w:rsidP="009F6424">
      <w:pPr>
        <w:spacing w:after="200" w:line="480" w:lineRule="auto"/>
        <w:ind w:left="720" w:hanging="720"/>
        <w:jc w:val="both"/>
        <w:rPr>
          <w:b/>
        </w:rPr>
      </w:pPr>
      <w:r w:rsidRPr="006B7D90">
        <w:rPr>
          <w:b/>
        </w:rPr>
        <w:t xml:space="preserve">Empirical </w:t>
      </w:r>
      <w:r w:rsidR="00B37643">
        <w:rPr>
          <w:b/>
        </w:rPr>
        <w:t>Models</w:t>
      </w:r>
    </w:p>
    <w:p w:rsidR="00DF3605" w:rsidRDefault="00A70B5E" w:rsidP="00DF3605">
      <w:pPr>
        <w:pStyle w:val="ListParagraph"/>
        <w:spacing w:line="480" w:lineRule="auto"/>
        <w:ind w:left="0"/>
        <w:jc w:val="both"/>
      </w:pPr>
      <w:r>
        <w:t xml:space="preserve">Taking into consideration the structure of the outcomes of interest, we apply </w:t>
      </w:r>
      <w:r w:rsidR="005839FD">
        <w:t xml:space="preserve">two distinct models to estimate the effect of displacement. On the one hand, we take advantage of a multinomial logit model when considering the outcomes school attendance and food security, as each is a categorical variable with various response possibilities. </w:t>
      </w:r>
      <w:r w:rsidR="00DF3605">
        <w:t>This can be formally expressed as:</w:t>
      </w:r>
    </w:p>
    <w:p w:rsidR="00DF3605" w:rsidRPr="00C91D9B" w:rsidRDefault="00B506AB" w:rsidP="00DF3605">
      <w:pPr>
        <w:spacing w:line="480" w:lineRule="auto"/>
      </w:pPr>
      <m:oMathPara>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=j</m:t>
                  </m:r>
                </m:e>
              </m:d>
            </m:e>
          </m:func>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i</m:t>
                      </m:r>
                    </m:sub>
                  </m:sSub>
                </m:sup>
              </m:sSup>
            </m:num>
            <m:den>
              <m:sSubSup>
                <m:sSubSupPr>
                  <m:ctrlPr>
                    <w:rPr>
                      <w:rFonts w:ascii="Cambria Math" w:hAnsi="Cambria Math"/>
                      <w:i/>
                    </w:rPr>
                  </m:ctrlPr>
                </m:sSubSupPr>
                <m:e>
                  <m:r>
                    <w:rPr>
                      <w:rFonts w:ascii="Cambria Math" w:hAnsi="Cambria Math"/>
                    </w:rPr>
                    <m:t>∑</m:t>
                  </m:r>
                </m:e>
                <m:sub>
                  <m:r>
                    <w:rPr>
                      <w:rFonts w:ascii="Cambria Math" w:hAnsi="Cambria Math"/>
                    </w:rPr>
                    <m:t>j=1</m:t>
                  </m:r>
                </m:sub>
                <m:sup>
                  <m:r>
                    <w:rPr>
                      <w:rFonts w:ascii="Cambria Math" w:hAnsi="Cambria Math"/>
                    </w:rPr>
                    <m:t>K</m:t>
                  </m:r>
                </m:sup>
              </m:sSubSup>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i</m:t>
                      </m:r>
                    </m:sub>
                  </m:sSub>
                </m:sup>
              </m:sSup>
            </m:den>
          </m:f>
        </m:oMath>
      </m:oMathPara>
    </w:p>
    <w:p w:rsidR="00DF3605" w:rsidRDefault="00DF3605" w:rsidP="00DF3605">
      <w:pPr>
        <w:pStyle w:val="ListParagraph"/>
        <w:spacing w:line="480" w:lineRule="auto"/>
        <w:ind w:left="0"/>
        <w:jc w:val="both"/>
      </w:pPr>
      <w:proofErr w:type="gramStart"/>
      <w:r w:rsidRPr="00C91D9B">
        <w:lastRenderedPageBreak/>
        <w:t>where</w:t>
      </w:r>
      <w:proofErr w:type="gramEnd"/>
      <w:r w:rsidRPr="00C91D9B">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C91D9B">
        <w:t xml:space="preserve"> represents </w:t>
      </w:r>
      <w:r>
        <w:t xml:space="preserve">category </w:t>
      </w:r>
      <m:oMath>
        <m:r>
          <w:rPr>
            <w:rFonts w:ascii="Cambria Math" w:hAnsi="Cambria Math"/>
          </w:rPr>
          <m:t>j</m:t>
        </m:r>
      </m:oMath>
      <w:r>
        <w:t xml:space="preserve"> for either school attendance or food security </w:t>
      </w:r>
      <w:r w:rsidRPr="00C91D9B">
        <w:t xml:space="preserve">of </w:t>
      </w:r>
      <w:r w:rsidR="001F111A">
        <w:t>household</w:t>
      </w:r>
      <w:r w:rsidRPr="00C91D9B">
        <w:t xml:space="preserve"> </w:t>
      </w:r>
      <w:proofErr w:type="spellStart"/>
      <w:r w:rsidRPr="00C91D9B">
        <w:rPr>
          <w:i/>
        </w:rPr>
        <w:t>i</w:t>
      </w:r>
      <w:proofErr w:type="spellEnd"/>
      <w:r w:rsidRPr="00C91D9B">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C91D9B">
        <w:t xml:space="preserve"> indicates the vector of </w:t>
      </w:r>
      <w:r>
        <w:t>household</w:t>
      </w:r>
      <w:r w:rsidRPr="00C91D9B">
        <w:t>-</w:t>
      </w:r>
      <w:r>
        <w:t>level</w:t>
      </w:r>
      <w:r w:rsidRPr="00C91D9B">
        <w:t xml:space="preserve"> </w:t>
      </w:r>
      <w:r>
        <w:t xml:space="preserve">covariates </w:t>
      </w:r>
      <w:r w:rsidRPr="00C91D9B">
        <w:t xml:space="preserve">influencing </w:t>
      </w:r>
      <w:r>
        <w:t>school attendance or food security</w:t>
      </w:r>
      <w:r w:rsidRPr="00C91D9B">
        <w:t xml:space="preserve">, and </w:t>
      </w:r>
      <m:oMath>
        <m:sSub>
          <m:sSubPr>
            <m:ctrlPr>
              <w:rPr>
                <w:rFonts w:ascii="Cambria Math" w:hAnsi="Cambria Math"/>
                <w:i/>
              </w:rPr>
            </m:ctrlPr>
          </m:sSubPr>
          <m:e>
            <m:r>
              <w:rPr>
                <w:rFonts w:ascii="Cambria Math" w:hAnsi="Cambria Math"/>
              </w:rPr>
              <m:t>β</m:t>
            </m:r>
          </m:e>
          <m:sub>
            <m:r>
              <w:rPr>
                <w:rFonts w:ascii="Cambria Math" w:hAnsi="Cambria Math"/>
              </w:rPr>
              <m:t>j</m:t>
            </m:r>
          </m:sub>
        </m:sSub>
      </m:oMath>
      <w:r w:rsidRPr="00C91D9B">
        <w:t xml:space="preserve"> represents the vector o</w:t>
      </w:r>
      <w:r>
        <w:t>f choice-specific coefficients.</w:t>
      </w:r>
    </w:p>
    <w:p w:rsidR="00DF3605" w:rsidRDefault="00DF3605" w:rsidP="009F6424">
      <w:pPr>
        <w:pStyle w:val="ListParagraph"/>
        <w:spacing w:line="480" w:lineRule="auto"/>
        <w:ind w:left="0"/>
        <w:jc w:val="both"/>
      </w:pPr>
    </w:p>
    <w:p w:rsidR="00DF3605" w:rsidRDefault="005839FD" w:rsidP="009F6424">
      <w:pPr>
        <w:pStyle w:val="ListParagraph"/>
        <w:spacing w:line="480" w:lineRule="auto"/>
        <w:ind w:left="0"/>
        <w:jc w:val="both"/>
      </w:pPr>
      <w:r>
        <w:t xml:space="preserve">On the other hand, </w:t>
      </w:r>
      <w:r w:rsidR="00DF3605">
        <w:t xml:space="preserve">because the outcome dietary diversity is of both a discrete and continuous nature due to the fact that </w:t>
      </w:r>
      <w:r w:rsidR="00916230">
        <w:t xml:space="preserve">nearly half of </w:t>
      </w:r>
      <w:r w:rsidR="00DF3605">
        <w:t xml:space="preserve">households </w:t>
      </w:r>
      <w:r w:rsidR="00916230">
        <w:t xml:space="preserve">in our sample reported </w:t>
      </w:r>
      <w:r w:rsidR="00DF3605">
        <w:t xml:space="preserve">unable to eat </w:t>
      </w:r>
      <w:r w:rsidR="00916230">
        <w:t xml:space="preserve">meat over the </w:t>
      </w:r>
      <w:r w:rsidR="001F111A">
        <w:t xml:space="preserve">previous </w:t>
      </w:r>
      <w:r w:rsidR="00916230">
        <w:t>week</w:t>
      </w:r>
      <w:r w:rsidR="00DF3605">
        <w:t xml:space="preserve">, </w:t>
      </w:r>
      <w:r w:rsidR="00DF3605" w:rsidRPr="00CE4025">
        <w:t xml:space="preserve">we employ a zero-censored </w:t>
      </w:r>
      <w:proofErr w:type="gramStart"/>
      <w:r w:rsidR="00DF3605" w:rsidRPr="00CE4025">
        <w:t>tobit</w:t>
      </w:r>
      <w:proofErr w:type="gramEnd"/>
      <w:r w:rsidR="00DF3605" w:rsidRPr="00CE4025">
        <w:t xml:space="preserve"> model</w:t>
      </w:r>
      <w:r w:rsidR="00DF3605" w:rsidRPr="00DF3605">
        <w:t xml:space="preserve"> </w:t>
      </w:r>
      <w:r w:rsidR="00DF3605">
        <w:t>expressed by the following equation</w:t>
      </w:r>
      <w:r w:rsidR="00DF3605" w:rsidRPr="00CE4025">
        <w:t>:</w:t>
      </w:r>
    </w:p>
    <w:p w:rsidR="005839FD" w:rsidRPr="00374227" w:rsidRDefault="00B506AB" w:rsidP="009F6424">
      <w:pPr>
        <w:spacing w:line="480" w:lineRule="auto"/>
        <w:jc w:val="both"/>
        <w:rPr>
          <w:rFonts w:ascii="Cambria Math" w:hAnsi="Cambria Math"/>
          <w:oMath/>
        </w:rPr>
      </w:pPr>
      <m:oMathPara>
        <m:oMath>
          <m:sSub>
            <m:sSubPr>
              <m:ctrlPr>
                <w:rPr>
                  <w:rFonts w:ascii="Cambria Math" w:hAnsi="Cambria Math"/>
                  <w:i/>
                </w:rPr>
              </m:ctrlPr>
            </m:sSubPr>
            <m:e>
              <m:r>
                <w:rPr>
                  <w:rFonts w:ascii="Cambria Math" w:hAnsi="Cambria Math"/>
                </w:rPr>
                <m:t>Y</m:t>
              </m:r>
            </m:e>
            <m:sub>
              <m:r>
                <w:rPr>
                  <w:rFonts w:ascii="Cambria Math" w:hAnsi="Cambria Math"/>
                </w:rPr>
                <m:t xml:space="preserve">i </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IDP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oMath>
      </m:oMathPara>
    </w:p>
    <w:p w:rsidR="00CC134C" w:rsidRDefault="003113C0" w:rsidP="00CC134C">
      <w:pPr>
        <w:jc w:val="both"/>
      </w:pPr>
      <w:proofErr w:type="gramStart"/>
      <w:r>
        <w:t>where</w:t>
      </w:r>
      <w:proofErr w:type="gramEnd"/>
      <w:r>
        <w:t>,</w:t>
      </w:r>
    </w:p>
    <w:p w:rsidR="003113C0" w:rsidRPr="00374227" w:rsidRDefault="00B506AB" w:rsidP="00CC134C">
      <w:pPr>
        <w:jc w:val="center"/>
      </w:pPr>
      <m:oMath>
        <m:sSub>
          <m:sSubPr>
            <m:ctrlPr>
              <w:rPr>
                <w:rFonts w:ascii="Cambria Math" w:hAnsi="Cambria Math"/>
                <w:i/>
              </w:rPr>
            </m:ctrlPr>
          </m:sSubPr>
          <m:e>
            <m:r>
              <w:rPr>
                <w:rFonts w:ascii="Cambria Math" w:hAnsi="Cambria Math"/>
              </w:rPr>
              <m:t>Y</m:t>
            </m:r>
          </m:e>
          <m:sub>
            <m:r>
              <w:rPr>
                <w:rFonts w:ascii="Cambria Math" w:hAnsi="Cambria Math"/>
              </w:rPr>
              <m:t xml:space="preserve">i </m:t>
            </m:r>
          </m:sub>
        </m:sSub>
        <m:r>
          <w:rPr>
            <w:rFonts w:ascii="Cambria Math" w:hAnsi="Cambria Math"/>
          </w:rPr>
          <m:t>=</m:t>
        </m:r>
        <m:r>
          <m:rPr>
            <m:sty m:val="p"/>
          </m:rPr>
          <w:rPr>
            <w:rFonts w:ascii="Cambria Math" w:hAnsi="Cambria Math"/>
          </w:rPr>
          <m:t>max⁡</m:t>
        </m:r>
        <m:r>
          <w:rPr>
            <w:rFonts w:ascii="Cambria Math" w:hAnsi="Cambria Math"/>
          </w:rPr>
          <m:t>(0,</m:t>
        </m:r>
        <m:sSub>
          <m:sSubPr>
            <m:ctrlPr>
              <w:rPr>
                <w:rFonts w:ascii="Cambria Math" w:hAnsi="Cambria Math"/>
                <w:i/>
              </w:rPr>
            </m:ctrlPr>
          </m:sSubPr>
          <m:e>
            <m:r>
              <w:rPr>
                <w:rFonts w:ascii="Cambria Math" w:hAnsi="Cambria Math"/>
              </w:rPr>
              <m:t>Y</m:t>
            </m:r>
          </m:e>
          <m:sub>
            <m:r>
              <w:rPr>
                <w:rFonts w:ascii="Cambria Math" w:hAnsi="Cambria Math"/>
              </w:rPr>
              <m:t>i</m:t>
            </m:r>
          </m:sub>
        </m:sSub>
        <m:r>
          <m:rPr>
            <m:sty m:val="p"/>
          </m:rPr>
          <w:rPr>
            <w:rFonts w:ascii="Cambria Math" w:hAnsi="Cambria Math"/>
          </w:rPr>
          <m:t>)</m:t>
        </m:r>
      </m:oMath>
      <w:r w:rsidR="00CC134C">
        <w:rPr>
          <w:rFonts w:eastAsiaTheme="minorEastAsia"/>
        </w:rPr>
        <w:t>, and</w:t>
      </w:r>
    </w:p>
    <w:p w:rsidR="003113C0" w:rsidRPr="00374227" w:rsidRDefault="00B506AB" w:rsidP="003113C0">
      <w:pPr>
        <w:jc w:val="center"/>
        <w:rPr>
          <w:sz w:val="28"/>
          <w:vertAlign w:val="superscript"/>
        </w:rPr>
      </w:pPr>
      <m:oMath>
        <m:sSub>
          <m:sSubPr>
            <m:ctrlPr>
              <w:rPr>
                <w:rFonts w:ascii="Cambria Math" w:hAnsi="Cambria Math"/>
                <w:i/>
              </w:rPr>
            </m:ctrlPr>
          </m:sSubPr>
          <m:e>
            <m:r>
              <w:rPr>
                <w:rFonts w:ascii="Cambria Math" w:hAnsi="Cambria Math"/>
              </w:rPr>
              <m:t>u</m:t>
            </m:r>
          </m:e>
          <m:sub>
            <m:r>
              <w:rPr>
                <w:rFonts w:ascii="Cambria Math" w:hAnsi="Cambria Math"/>
              </w:rPr>
              <m:t>i</m:t>
            </m:r>
          </m:sub>
        </m:sSub>
        <m:r>
          <m:rPr>
            <m:sty m:val="p"/>
          </m:rPr>
          <w:rPr>
            <w:rFonts w:ascii="Cambria Math" w:hAnsi="Cambria Math"/>
          </w:rPr>
          <m:t xml:space="preserve"> ~ </m:t>
        </m:r>
        <m:r>
          <w:rPr>
            <w:rFonts w:ascii="Cambria Math" w:hAnsi="Cambria Math"/>
          </w:rPr>
          <m:t>Ν(0,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3113C0" w:rsidRPr="00374227">
        <w:t>.</w:t>
      </w:r>
    </w:p>
    <w:p w:rsidR="00DF3605" w:rsidRDefault="00DF3605" w:rsidP="00DF3605">
      <w:pPr>
        <w:pStyle w:val="ListParagraph"/>
        <w:spacing w:line="480" w:lineRule="auto"/>
        <w:ind w:left="0"/>
        <w:jc w:val="both"/>
      </w:pPr>
      <w:r>
        <w:t xml:space="preserve">Here </w:t>
      </w:r>
      <m:oMath>
        <m:sSub>
          <m:sSubPr>
            <m:ctrlPr>
              <w:rPr>
                <w:rFonts w:ascii="Cambria Math" w:hAnsi="Cambria Math"/>
                <w:i/>
              </w:rPr>
            </m:ctrlPr>
          </m:sSubPr>
          <m:e>
            <m:r>
              <w:rPr>
                <w:rFonts w:ascii="Cambria Math" w:hAnsi="Cambria Math"/>
              </w:rPr>
              <m:t>IDP</m:t>
            </m:r>
          </m:e>
          <m:sub>
            <m:r>
              <w:rPr>
                <w:rFonts w:ascii="Cambria Math" w:hAnsi="Cambria Math"/>
              </w:rPr>
              <m:t>i</m:t>
            </m:r>
          </m:sub>
        </m:sSub>
      </m:oMath>
      <w:r w:rsidR="004C2B0A">
        <w:rPr>
          <w:rFonts w:eastAsiaTheme="minorEastAsia"/>
        </w:rPr>
        <w:t xml:space="preserve"> </w:t>
      </w:r>
      <w:r w:rsidR="00E760D7">
        <w:rPr>
          <w:rFonts w:eastAsiaTheme="minorEastAsia"/>
        </w:rPr>
        <w:t>is a dumm</w:t>
      </w:r>
      <w:r w:rsidR="00123465">
        <w:rPr>
          <w:rFonts w:eastAsiaTheme="minorEastAsia"/>
        </w:rPr>
        <w:t>y variable taking the value of one</w:t>
      </w:r>
      <w:r w:rsidR="00E760D7">
        <w:rPr>
          <w:rFonts w:eastAsiaTheme="minorEastAsia"/>
        </w:rPr>
        <w:t xml:space="preserve"> if </w:t>
      </w:r>
      <w:r w:rsidR="004C2B0A">
        <w:rPr>
          <w:rFonts w:eastAsiaTheme="minorEastAsia"/>
        </w:rPr>
        <w:t xml:space="preserve">the household is internally displaced,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4C2B0A">
        <w:rPr>
          <w:rFonts w:eastAsiaTheme="minorEastAsia"/>
        </w:rPr>
        <w:t xml:space="preserve"> again represents household-</w:t>
      </w:r>
      <w:r w:rsidR="00123465">
        <w:rPr>
          <w:rFonts w:eastAsiaTheme="minorEastAsia"/>
        </w:rPr>
        <w:t>level</w:t>
      </w:r>
      <w:r w:rsidR="004C2B0A">
        <w:rPr>
          <w:rFonts w:eastAsiaTheme="minorEastAsia"/>
        </w:rPr>
        <w:t xml:space="preserve"> covariates, and </w:t>
      </w:r>
      <m:oMath>
        <m:sSub>
          <m:sSubPr>
            <m:ctrlPr>
              <w:rPr>
                <w:rFonts w:ascii="Cambria Math" w:hAnsi="Cambria Math"/>
                <w:i/>
              </w:rPr>
            </m:ctrlPr>
          </m:sSubPr>
          <m:e>
            <m:r>
              <w:rPr>
                <w:rFonts w:ascii="Cambria Math" w:hAnsi="Cambria Math"/>
              </w:rPr>
              <m:t>u</m:t>
            </m:r>
          </m:e>
          <m:sub>
            <m:r>
              <w:rPr>
                <w:rFonts w:ascii="Cambria Math" w:hAnsi="Cambria Math"/>
              </w:rPr>
              <m:t>i</m:t>
            </m:r>
          </m:sub>
        </m:sSub>
      </m:oMath>
      <w:r w:rsidR="004C2B0A">
        <w:rPr>
          <w:rFonts w:eastAsiaTheme="minorEastAsia"/>
        </w:rPr>
        <w:t xml:space="preserve"> is the error term.</w:t>
      </w:r>
      <w:r>
        <w:rPr>
          <w:rFonts w:eastAsiaTheme="minorEastAsia"/>
        </w:rPr>
        <w:t xml:space="preserve"> In principle, the </w:t>
      </w:r>
      <w:r w:rsidR="00CC134C">
        <w:rPr>
          <w:rFonts w:eastAsiaTheme="minorEastAsia"/>
        </w:rPr>
        <w:t xml:space="preserve">zero-censored </w:t>
      </w:r>
      <w:proofErr w:type="gramStart"/>
      <w:r>
        <w:rPr>
          <w:rFonts w:eastAsiaTheme="minorEastAsia"/>
        </w:rPr>
        <w:t>tobit</w:t>
      </w:r>
      <w:proofErr w:type="gramEnd"/>
      <w:r>
        <w:rPr>
          <w:rFonts w:eastAsiaTheme="minorEastAsia"/>
        </w:rPr>
        <w:t xml:space="preserve"> model </w:t>
      </w:r>
      <w:r w:rsidR="00CC134C">
        <w:rPr>
          <w:rFonts w:eastAsiaTheme="minorEastAsia"/>
        </w:rPr>
        <w:t>takes into account the</w:t>
      </w:r>
      <w:r>
        <w:rPr>
          <w:rFonts w:eastAsiaTheme="minorEastAsia"/>
        </w:rPr>
        <w:t xml:space="preserve"> </w:t>
      </w:r>
      <w:r w:rsidRPr="00CE4025">
        <w:t>linearity of the latent variable</w:t>
      </w:r>
      <w:r>
        <w:t xml:space="preserve"> for </w:t>
      </w:r>
      <w:r w:rsidR="00CC134C">
        <w:t xml:space="preserve">those observations not equal to zero, </w:t>
      </w:r>
      <w:r w:rsidRPr="00CE4025">
        <w:t xml:space="preserve">while </w:t>
      </w:r>
      <w:r w:rsidR="00CC134C">
        <w:t xml:space="preserve">also </w:t>
      </w:r>
      <w:r w:rsidRPr="00CE4025">
        <w:t xml:space="preserve">assuming normality and homoscedasticity of the residuals. </w:t>
      </w:r>
    </w:p>
    <w:p w:rsidR="003113C0" w:rsidRDefault="003113C0" w:rsidP="009F6424">
      <w:pPr>
        <w:pStyle w:val="ListParagraph"/>
        <w:spacing w:line="480" w:lineRule="auto"/>
        <w:ind w:left="0"/>
        <w:jc w:val="both"/>
      </w:pPr>
    </w:p>
    <w:p w:rsidR="001A79F9" w:rsidRPr="001A79F9" w:rsidRDefault="006B7D90" w:rsidP="009F6424">
      <w:pPr>
        <w:pStyle w:val="ListParagraph"/>
        <w:numPr>
          <w:ilvl w:val="0"/>
          <w:numId w:val="2"/>
        </w:numPr>
        <w:spacing w:after="200" w:line="480" w:lineRule="auto"/>
        <w:ind w:left="360"/>
        <w:contextualSpacing w:val="0"/>
        <w:jc w:val="both"/>
        <w:rPr>
          <w:b/>
          <w:sz w:val="28"/>
        </w:rPr>
      </w:pPr>
      <w:r>
        <w:rPr>
          <w:b/>
          <w:sz w:val="28"/>
        </w:rPr>
        <w:t>Results</w:t>
      </w:r>
    </w:p>
    <w:p w:rsidR="00C615A3" w:rsidRDefault="00655A9B" w:rsidP="009F6424">
      <w:pPr>
        <w:pStyle w:val="ListParagraph"/>
        <w:spacing w:line="480" w:lineRule="auto"/>
        <w:ind w:left="0"/>
        <w:jc w:val="both"/>
      </w:pPr>
      <w:r>
        <w:t>We here report</w:t>
      </w:r>
      <w:r w:rsidR="00CC134C">
        <w:t xml:space="preserve"> the </w:t>
      </w:r>
      <w:r w:rsidR="00C615A3">
        <w:t xml:space="preserve">results </w:t>
      </w:r>
      <w:r w:rsidR="00CC134C">
        <w:t xml:space="preserve">of all three models depending on the outcome of interest. For the sake of parsimony, we </w:t>
      </w:r>
      <w:r w:rsidR="00C615A3">
        <w:t>focus sol</w:t>
      </w:r>
      <w:r w:rsidR="00CC134C">
        <w:t xml:space="preserve">ely on the variable of interest, </w:t>
      </w:r>
      <w:r w:rsidR="00C615A3">
        <w:t>whether the household</w:t>
      </w:r>
      <w:r w:rsidR="00CC134C">
        <w:t xml:space="preserve"> is </w:t>
      </w:r>
      <w:r w:rsidR="00C615A3">
        <w:t xml:space="preserve">internally displaced or not, and </w:t>
      </w:r>
      <w:r w:rsidR="00CC134C">
        <w:t xml:space="preserve">indicate if the </w:t>
      </w:r>
      <w:r w:rsidR="00C615A3">
        <w:t>previously explai</w:t>
      </w:r>
      <w:r w:rsidR="00123465">
        <w:t xml:space="preserve">ned household-level covariates </w:t>
      </w:r>
      <w:r w:rsidR="00C615A3">
        <w:t xml:space="preserve">and location fixed effects </w:t>
      </w:r>
      <w:r w:rsidR="001F111A">
        <w:t>are</w:t>
      </w:r>
      <w:r w:rsidR="00C615A3">
        <w:t xml:space="preserve"> included </w:t>
      </w:r>
      <w:r w:rsidR="001F111A">
        <w:t>in the model specification</w:t>
      </w:r>
      <w:r w:rsidR="00C615A3">
        <w:t xml:space="preserve">. The results of </w:t>
      </w:r>
      <w:r w:rsidR="00CC134C">
        <w:t>all</w:t>
      </w:r>
      <w:r w:rsidR="00C615A3">
        <w:t xml:space="preserve"> full models can be found in the Appendix.</w:t>
      </w:r>
    </w:p>
    <w:p w:rsidR="000E571C" w:rsidRDefault="000E571C" w:rsidP="009F6424">
      <w:pPr>
        <w:pStyle w:val="ListParagraph"/>
        <w:spacing w:line="480" w:lineRule="auto"/>
        <w:ind w:left="0"/>
        <w:jc w:val="both"/>
      </w:pPr>
    </w:p>
    <w:p w:rsidR="00655A9B" w:rsidRDefault="00C80694" w:rsidP="009F6424">
      <w:pPr>
        <w:pStyle w:val="ListParagraph"/>
        <w:spacing w:line="480" w:lineRule="auto"/>
        <w:ind w:left="0"/>
        <w:jc w:val="both"/>
      </w:pPr>
      <w:r>
        <w:lastRenderedPageBreak/>
        <w:t>Table 2</w:t>
      </w:r>
      <w:r w:rsidR="002A713B">
        <w:t xml:space="preserve"> presents the </w:t>
      </w:r>
      <w:r w:rsidR="00CC134C">
        <w:t>estimates</w:t>
      </w:r>
      <w:r w:rsidR="002A713B">
        <w:t xml:space="preserve"> for the effect of displacement on school attendance for those school-aged children of the household, reporting the relative risk ratio in comparison to the base category of no school attendance</w:t>
      </w:r>
      <w:r w:rsidR="00123465">
        <w:t xml:space="preserve"> </w:t>
      </w:r>
      <w:r w:rsidR="00E762A3">
        <w:t xml:space="preserve">and </w:t>
      </w:r>
      <w:r w:rsidR="00123465">
        <w:t>robust standard errors</w:t>
      </w:r>
      <w:r w:rsidR="002A713B">
        <w:t xml:space="preserve"> in parentheses. We find that across </w:t>
      </w:r>
      <w:r w:rsidR="00BE7394">
        <w:t xml:space="preserve">both </w:t>
      </w:r>
      <w:r w:rsidR="002A713B">
        <w:t xml:space="preserve">response categories, being a child within an internally displaced household yields a statistically significant and negative result for school attendance when not controlling for </w:t>
      </w:r>
      <w:r w:rsidR="00123465">
        <w:t xml:space="preserve">location </w:t>
      </w:r>
      <w:r w:rsidR="00CC134C">
        <w:t>fixed effects</w:t>
      </w:r>
      <w:r w:rsidR="002A713B">
        <w:t xml:space="preserve">. </w:t>
      </w:r>
      <w:r w:rsidR="00BE7394">
        <w:t>N</w:t>
      </w:r>
      <w:r w:rsidR="002A713B">
        <w:t xml:space="preserve">one of the </w:t>
      </w:r>
      <w:r w:rsidR="00CC134C">
        <w:t>estimates</w:t>
      </w:r>
      <w:r w:rsidR="00BE7394">
        <w:t>, however,</w:t>
      </w:r>
      <w:r w:rsidR="00CC134C">
        <w:t xml:space="preserve"> </w:t>
      </w:r>
      <w:r w:rsidR="002A713B">
        <w:t xml:space="preserve">are robust to the inclusion of location fixed effects including whether the household is located in a rural setting along with the specific province of current location. </w:t>
      </w:r>
      <w:r w:rsidR="00123465">
        <w:t>As such</w:t>
      </w:r>
      <w:r w:rsidR="002A713B">
        <w:t xml:space="preserve">, even though there is indication that internal displacement </w:t>
      </w:r>
      <w:r w:rsidR="00D13FA0">
        <w:t xml:space="preserve">plays a </w:t>
      </w:r>
      <w:r w:rsidR="002A713B">
        <w:t xml:space="preserve">role </w:t>
      </w:r>
      <w:r w:rsidR="00D13FA0">
        <w:t>for school attendance</w:t>
      </w:r>
      <w:r w:rsidR="002A713B">
        <w:t xml:space="preserve">, </w:t>
      </w:r>
      <w:r w:rsidR="00EB74E0">
        <w:t xml:space="preserve">the </w:t>
      </w:r>
      <w:r w:rsidR="00D13FA0">
        <w:t xml:space="preserve">relationship </w:t>
      </w:r>
      <w:r w:rsidR="00EB74E0">
        <w:t>is not uniform across all</w:t>
      </w:r>
      <w:r w:rsidR="002A713B">
        <w:t xml:space="preserve"> location</w:t>
      </w:r>
      <w:r w:rsidR="00EB74E0">
        <w:t xml:space="preserve">s. </w:t>
      </w:r>
      <w:r w:rsidR="00491DB1">
        <w:t>I</w:t>
      </w:r>
      <w:r w:rsidR="006C4D6E">
        <w:t>t seems we can deduce then that the dynamics within the communities of displacement are more likely to influence educational outcomes regardless of whether the household is displaced or not. This may be due the lack of local services within the community (i.e. schools)</w:t>
      </w:r>
      <w:r w:rsidR="00BE7394">
        <w:t xml:space="preserve"> which is not uncommon throughout Afghanistan</w:t>
      </w:r>
      <w:r w:rsidR="006C4D6E">
        <w:t>, or perhaps areas receiving the displaced are poorer in general resulting in a substitution of schooling for income-generating activities.</w:t>
      </w:r>
    </w:p>
    <w:p w:rsidR="006C4D6E" w:rsidRDefault="006C4D6E" w:rsidP="009F6424">
      <w:pPr>
        <w:pStyle w:val="ListParagraph"/>
        <w:spacing w:line="480" w:lineRule="auto"/>
        <w:ind w:left="0"/>
        <w:jc w:val="both"/>
      </w:pPr>
    </w:p>
    <w:tbl>
      <w:tblPr>
        <w:tblW w:w="5000" w:type="pct"/>
        <w:jc w:val="center"/>
        <w:tblLayout w:type="fixed"/>
        <w:tblLook w:val="04A0" w:firstRow="1" w:lastRow="0" w:firstColumn="1" w:lastColumn="0" w:noHBand="0" w:noVBand="1"/>
      </w:tblPr>
      <w:tblGrid>
        <w:gridCol w:w="2178"/>
        <w:gridCol w:w="1639"/>
        <w:gridCol w:w="1151"/>
        <w:gridCol w:w="1153"/>
        <w:gridCol w:w="1151"/>
        <w:gridCol w:w="1153"/>
        <w:gridCol w:w="1151"/>
      </w:tblGrid>
      <w:tr w:rsidR="001F5171" w:rsidRPr="00B6514D" w:rsidTr="0093428B">
        <w:trPr>
          <w:trHeight w:val="360"/>
          <w:jc w:val="center"/>
        </w:trPr>
        <w:tc>
          <w:tcPr>
            <w:tcW w:w="5000" w:type="pct"/>
            <w:gridSpan w:val="7"/>
            <w:tcBorders>
              <w:top w:val="nil"/>
              <w:left w:val="nil"/>
              <w:bottom w:val="double" w:sz="6" w:space="0" w:color="auto"/>
              <w:right w:val="nil"/>
            </w:tcBorders>
            <w:shd w:val="clear" w:color="auto" w:fill="auto"/>
            <w:noWrap/>
            <w:vAlign w:val="center"/>
            <w:hideMark/>
          </w:tcPr>
          <w:p w:rsidR="001F5171" w:rsidRPr="00B6514D" w:rsidRDefault="00C80694" w:rsidP="000A37DA">
            <w:pPr>
              <w:spacing w:line="276" w:lineRule="auto"/>
              <w:rPr>
                <w:rFonts w:eastAsia="Times New Roman"/>
                <w:bCs/>
                <w:color w:val="000000"/>
              </w:rPr>
            </w:pPr>
            <w:r>
              <w:rPr>
                <w:rFonts w:eastAsia="Times New Roman"/>
                <w:bCs/>
                <w:color w:val="000000"/>
              </w:rPr>
              <w:t>Table 2</w:t>
            </w:r>
            <w:r w:rsidR="001F5171" w:rsidRPr="00B6514D">
              <w:rPr>
                <w:rFonts w:eastAsia="Times New Roman"/>
                <w:bCs/>
                <w:color w:val="000000"/>
              </w:rPr>
              <w:t>: School Attendance</w:t>
            </w:r>
          </w:p>
        </w:tc>
      </w:tr>
      <w:tr w:rsidR="001F5171" w:rsidRPr="00B6514D" w:rsidTr="0093428B">
        <w:trPr>
          <w:trHeight w:val="360"/>
          <w:jc w:val="center"/>
        </w:trPr>
        <w:tc>
          <w:tcPr>
            <w:tcW w:w="1137" w:type="pct"/>
            <w:tcBorders>
              <w:top w:val="nil"/>
              <w:left w:val="nil"/>
              <w:bottom w:val="single" w:sz="4" w:space="0" w:color="auto"/>
              <w:right w:val="nil"/>
            </w:tcBorders>
            <w:shd w:val="clear" w:color="auto" w:fill="auto"/>
            <w:noWrap/>
            <w:vAlign w:val="center"/>
            <w:hideMark/>
          </w:tcPr>
          <w:p w:rsidR="001F5171" w:rsidRPr="00B6514D" w:rsidRDefault="001F5171" w:rsidP="000A37DA">
            <w:pPr>
              <w:spacing w:line="276" w:lineRule="auto"/>
              <w:rPr>
                <w:rFonts w:eastAsia="Times New Roman"/>
                <w:color w:val="000000"/>
                <w:sz w:val="22"/>
                <w:szCs w:val="22"/>
              </w:rPr>
            </w:pPr>
            <w:r w:rsidRPr="00B6514D">
              <w:rPr>
                <w:rFonts w:eastAsia="Times New Roman"/>
                <w:color w:val="000000"/>
                <w:sz w:val="22"/>
                <w:szCs w:val="22"/>
              </w:rPr>
              <w:t>Base Category: None</w:t>
            </w:r>
          </w:p>
        </w:tc>
        <w:tc>
          <w:tcPr>
            <w:tcW w:w="2059" w:type="pct"/>
            <w:gridSpan w:val="3"/>
            <w:tcBorders>
              <w:top w:val="double" w:sz="6" w:space="0" w:color="auto"/>
              <w:left w:val="nil"/>
              <w:bottom w:val="single" w:sz="4" w:space="0" w:color="auto"/>
              <w:right w:val="nil"/>
            </w:tcBorders>
            <w:shd w:val="clear" w:color="auto" w:fill="auto"/>
            <w:noWrap/>
            <w:vAlign w:val="center"/>
            <w:hideMark/>
          </w:tcPr>
          <w:p w:rsidR="001F5171" w:rsidRPr="00B6514D" w:rsidRDefault="001F5171" w:rsidP="000A37DA">
            <w:pPr>
              <w:spacing w:line="276" w:lineRule="auto"/>
              <w:jc w:val="center"/>
              <w:rPr>
                <w:rFonts w:eastAsia="Times New Roman"/>
                <w:color w:val="000000"/>
                <w:sz w:val="22"/>
                <w:szCs w:val="22"/>
              </w:rPr>
            </w:pPr>
            <w:r w:rsidRPr="00B6514D">
              <w:rPr>
                <w:rFonts w:eastAsia="Times New Roman"/>
                <w:color w:val="000000"/>
                <w:sz w:val="22"/>
                <w:szCs w:val="22"/>
              </w:rPr>
              <w:t>All School-Aged Children</w:t>
            </w:r>
          </w:p>
        </w:tc>
        <w:tc>
          <w:tcPr>
            <w:tcW w:w="1804" w:type="pct"/>
            <w:gridSpan w:val="3"/>
            <w:tcBorders>
              <w:top w:val="double" w:sz="6" w:space="0" w:color="auto"/>
              <w:left w:val="single" w:sz="4" w:space="0" w:color="auto"/>
              <w:bottom w:val="single" w:sz="4" w:space="0" w:color="auto"/>
            </w:tcBorders>
            <w:shd w:val="clear" w:color="auto" w:fill="auto"/>
            <w:noWrap/>
            <w:vAlign w:val="center"/>
            <w:hideMark/>
          </w:tcPr>
          <w:p w:rsidR="001F5171" w:rsidRPr="00B6514D" w:rsidRDefault="001F5171" w:rsidP="000A37DA">
            <w:pPr>
              <w:spacing w:line="276" w:lineRule="auto"/>
              <w:jc w:val="center"/>
              <w:rPr>
                <w:rFonts w:eastAsia="Times New Roman"/>
                <w:color w:val="000000"/>
                <w:sz w:val="22"/>
                <w:szCs w:val="22"/>
              </w:rPr>
            </w:pPr>
            <w:r w:rsidRPr="00B6514D">
              <w:rPr>
                <w:rFonts w:eastAsia="Times New Roman"/>
                <w:color w:val="000000"/>
                <w:sz w:val="22"/>
                <w:szCs w:val="22"/>
              </w:rPr>
              <w:t>Only School-Aged Boys</w:t>
            </w:r>
          </w:p>
        </w:tc>
      </w:tr>
      <w:tr w:rsidR="001F5171" w:rsidRPr="00FF1FCB" w:rsidTr="0093428B">
        <w:trPr>
          <w:trHeight w:val="360"/>
          <w:jc w:val="center"/>
        </w:trPr>
        <w:tc>
          <w:tcPr>
            <w:tcW w:w="1137" w:type="pct"/>
            <w:tcBorders>
              <w:top w:val="single" w:sz="4" w:space="0" w:color="auto"/>
              <w:left w:val="nil"/>
              <w:bottom w:val="nil"/>
              <w:right w:val="nil"/>
            </w:tcBorders>
            <w:shd w:val="clear" w:color="auto" w:fill="auto"/>
            <w:noWrap/>
            <w:vAlign w:val="center"/>
            <w:hideMark/>
          </w:tcPr>
          <w:p w:rsidR="001F5171" w:rsidRPr="00FF1FCB" w:rsidRDefault="001F5171" w:rsidP="000A37DA">
            <w:pPr>
              <w:spacing w:line="276" w:lineRule="auto"/>
              <w:rPr>
                <w:rFonts w:eastAsia="Times New Roman"/>
                <w:color w:val="000000"/>
                <w:sz w:val="22"/>
                <w:szCs w:val="22"/>
              </w:rPr>
            </w:pPr>
            <w:r w:rsidRPr="00FF1FCB">
              <w:rPr>
                <w:rFonts w:eastAsia="Times New Roman"/>
                <w:color w:val="000000"/>
                <w:sz w:val="22"/>
                <w:szCs w:val="22"/>
              </w:rPr>
              <w:t>Internally Displaced</w:t>
            </w:r>
          </w:p>
        </w:tc>
        <w:tc>
          <w:tcPr>
            <w:tcW w:w="856" w:type="pct"/>
            <w:tcBorders>
              <w:top w:val="single" w:sz="4" w:space="0" w:color="auto"/>
              <w:left w:val="nil"/>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0.4937***</w:t>
            </w:r>
          </w:p>
        </w:tc>
        <w:tc>
          <w:tcPr>
            <w:tcW w:w="601" w:type="pct"/>
            <w:tcBorders>
              <w:top w:val="single" w:sz="4" w:space="0" w:color="auto"/>
              <w:left w:val="nil"/>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0.4838***</w:t>
            </w:r>
          </w:p>
        </w:tc>
        <w:tc>
          <w:tcPr>
            <w:tcW w:w="602" w:type="pct"/>
            <w:tcBorders>
              <w:top w:val="single" w:sz="4" w:space="0" w:color="auto"/>
              <w:left w:val="nil"/>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0.7608</w:t>
            </w:r>
          </w:p>
        </w:tc>
        <w:tc>
          <w:tcPr>
            <w:tcW w:w="601" w:type="pct"/>
            <w:tcBorders>
              <w:top w:val="single" w:sz="4" w:space="0" w:color="auto"/>
              <w:left w:val="single" w:sz="4" w:space="0" w:color="auto"/>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0.6013***</w:t>
            </w:r>
          </w:p>
        </w:tc>
        <w:tc>
          <w:tcPr>
            <w:tcW w:w="602" w:type="pct"/>
            <w:tcBorders>
              <w:top w:val="single" w:sz="4" w:space="0" w:color="auto"/>
              <w:left w:val="nil"/>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0.6008***</w:t>
            </w:r>
          </w:p>
        </w:tc>
        <w:tc>
          <w:tcPr>
            <w:tcW w:w="601" w:type="pct"/>
            <w:tcBorders>
              <w:top w:val="single" w:sz="4" w:space="0" w:color="auto"/>
              <w:left w:val="nil"/>
              <w:bottom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0.8363</w:t>
            </w:r>
          </w:p>
        </w:tc>
      </w:tr>
      <w:tr w:rsidR="001F5171" w:rsidRPr="00FF1FCB" w:rsidTr="0093428B">
        <w:trPr>
          <w:trHeight w:val="360"/>
          <w:jc w:val="center"/>
        </w:trPr>
        <w:tc>
          <w:tcPr>
            <w:tcW w:w="1137" w:type="pct"/>
            <w:tcBorders>
              <w:top w:val="nil"/>
              <w:left w:val="nil"/>
              <w:bottom w:val="nil"/>
              <w:right w:val="nil"/>
            </w:tcBorders>
            <w:shd w:val="clear" w:color="auto" w:fill="auto"/>
            <w:noWrap/>
            <w:vAlign w:val="center"/>
            <w:hideMark/>
          </w:tcPr>
          <w:p w:rsidR="001F5171" w:rsidRPr="00FF1FCB" w:rsidRDefault="001F5171" w:rsidP="000A37DA">
            <w:pPr>
              <w:spacing w:line="276" w:lineRule="auto"/>
              <w:rPr>
                <w:rFonts w:eastAsia="Times New Roman"/>
                <w:color w:val="000000"/>
                <w:sz w:val="22"/>
                <w:szCs w:val="22"/>
              </w:rPr>
            </w:pPr>
          </w:p>
        </w:tc>
        <w:tc>
          <w:tcPr>
            <w:tcW w:w="856" w:type="pct"/>
            <w:tcBorders>
              <w:top w:val="nil"/>
              <w:left w:val="nil"/>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(0.0740)</w:t>
            </w:r>
          </w:p>
        </w:tc>
        <w:tc>
          <w:tcPr>
            <w:tcW w:w="601" w:type="pct"/>
            <w:tcBorders>
              <w:top w:val="nil"/>
              <w:left w:val="nil"/>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(0.0849)</w:t>
            </w:r>
          </w:p>
        </w:tc>
        <w:tc>
          <w:tcPr>
            <w:tcW w:w="602" w:type="pct"/>
            <w:tcBorders>
              <w:top w:val="nil"/>
              <w:left w:val="nil"/>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(0.1628)</w:t>
            </w:r>
          </w:p>
        </w:tc>
        <w:tc>
          <w:tcPr>
            <w:tcW w:w="601" w:type="pct"/>
            <w:tcBorders>
              <w:top w:val="nil"/>
              <w:left w:val="single" w:sz="4" w:space="0" w:color="auto"/>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(0.1099)</w:t>
            </w:r>
          </w:p>
        </w:tc>
        <w:tc>
          <w:tcPr>
            <w:tcW w:w="602" w:type="pct"/>
            <w:tcBorders>
              <w:top w:val="nil"/>
              <w:left w:val="nil"/>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(0.1175)</w:t>
            </w:r>
          </w:p>
        </w:tc>
        <w:tc>
          <w:tcPr>
            <w:tcW w:w="601" w:type="pct"/>
            <w:tcBorders>
              <w:top w:val="nil"/>
              <w:left w:val="nil"/>
              <w:bottom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(0.1976)</w:t>
            </w:r>
          </w:p>
        </w:tc>
      </w:tr>
      <w:tr w:rsidR="001F5171" w:rsidRPr="00FF1FCB" w:rsidTr="0093428B">
        <w:trPr>
          <w:trHeight w:val="360"/>
          <w:jc w:val="center"/>
        </w:trPr>
        <w:tc>
          <w:tcPr>
            <w:tcW w:w="1137" w:type="pct"/>
            <w:tcBorders>
              <w:top w:val="nil"/>
              <w:left w:val="nil"/>
              <w:bottom w:val="nil"/>
              <w:right w:val="nil"/>
            </w:tcBorders>
            <w:shd w:val="clear" w:color="auto" w:fill="auto"/>
            <w:noWrap/>
            <w:vAlign w:val="center"/>
            <w:hideMark/>
          </w:tcPr>
          <w:p w:rsidR="001F5171" w:rsidRPr="00FF1FCB" w:rsidRDefault="0093428B" w:rsidP="000A37DA">
            <w:pPr>
              <w:spacing w:line="276" w:lineRule="auto"/>
              <w:rPr>
                <w:rFonts w:eastAsia="Times New Roman"/>
                <w:color w:val="000000"/>
                <w:sz w:val="22"/>
                <w:szCs w:val="22"/>
              </w:rPr>
            </w:pPr>
            <w:r>
              <w:rPr>
                <w:rFonts w:eastAsia="Times New Roman"/>
                <w:color w:val="000000"/>
                <w:sz w:val="22"/>
                <w:szCs w:val="22"/>
              </w:rPr>
              <w:t>HH</w:t>
            </w:r>
            <w:r w:rsidR="001F5171" w:rsidRPr="00FF1FCB">
              <w:rPr>
                <w:rFonts w:eastAsia="Times New Roman"/>
                <w:color w:val="000000"/>
                <w:sz w:val="22"/>
                <w:szCs w:val="22"/>
              </w:rPr>
              <w:t>-level Covariates</w:t>
            </w:r>
          </w:p>
        </w:tc>
        <w:tc>
          <w:tcPr>
            <w:tcW w:w="856" w:type="pct"/>
            <w:tcBorders>
              <w:top w:val="nil"/>
              <w:left w:val="nil"/>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0"/>
                <w:szCs w:val="20"/>
              </w:rPr>
            </w:pPr>
            <w:r w:rsidRPr="00FF1FCB">
              <w:rPr>
                <w:rFonts w:eastAsia="Times New Roman"/>
                <w:color w:val="000000"/>
                <w:sz w:val="20"/>
                <w:szCs w:val="20"/>
              </w:rPr>
              <w:t>No</w:t>
            </w:r>
          </w:p>
        </w:tc>
        <w:tc>
          <w:tcPr>
            <w:tcW w:w="601" w:type="pct"/>
            <w:tcBorders>
              <w:top w:val="nil"/>
              <w:left w:val="nil"/>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0"/>
                <w:szCs w:val="20"/>
              </w:rPr>
            </w:pPr>
            <w:r w:rsidRPr="00FF1FCB">
              <w:rPr>
                <w:rFonts w:eastAsia="Times New Roman"/>
                <w:color w:val="000000"/>
                <w:sz w:val="20"/>
                <w:szCs w:val="20"/>
              </w:rPr>
              <w:t>Yes</w:t>
            </w:r>
          </w:p>
        </w:tc>
        <w:tc>
          <w:tcPr>
            <w:tcW w:w="602" w:type="pct"/>
            <w:tcBorders>
              <w:top w:val="nil"/>
              <w:left w:val="nil"/>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0"/>
                <w:szCs w:val="20"/>
              </w:rPr>
            </w:pPr>
            <w:r w:rsidRPr="00FF1FCB">
              <w:rPr>
                <w:rFonts w:eastAsia="Times New Roman"/>
                <w:color w:val="000000"/>
                <w:sz w:val="20"/>
                <w:szCs w:val="20"/>
              </w:rPr>
              <w:t>Yes</w:t>
            </w:r>
          </w:p>
        </w:tc>
        <w:tc>
          <w:tcPr>
            <w:tcW w:w="601" w:type="pct"/>
            <w:tcBorders>
              <w:top w:val="nil"/>
              <w:left w:val="single" w:sz="4" w:space="0" w:color="auto"/>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0"/>
                <w:szCs w:val="20"/>
              </w:rPr>
            </w:pPr>
            <w:r w:rsidRPr="00FF1FCB">
              <w:rPr>
                <w:rFonts w:eastAsia="Times New Roman"/>
                <w:color w:val="000000"/>
                <w:sz w:val="20"/>
                <w:szCs w:val="20"/>
              </w:rPr>
              <w:t>No</w:t>
            </w:r>
          </w:p>
        </w:tc>
        <w:tc>
          <w:tcPr>
            <w:tcW w:w="602" w:type="pct"/>
            <w:tcBorders>
              <w:top w:val="nil"/>
              <w:left w:val="nil"/>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0"/>
                <w:szCs w:val="20"/>
              </w:rPr>
            </w:pPr>
            <w:r w:rsidRPr="00FF1FCB">
              <w:rPr>
                <w:rFonts w:eastAsia="Times New Roman"/>
                <w:color w:val="000000"/>
                <w:sz w:val="20"/>
                <w:szCs w:val="20"/>
              </w:rPr>
              <w:t>Yes</w:t>
            </w:r>
          </w:p>
        </w:tc>
        <w:tc>
          <w:tcPr>
            <w:tcW w:w="601" w:type="pct"/>
            <w:tcBorders>
              <w:top w:val="nil"/>
              <w:left w:val="nil"/>
              <w:bottom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0"/>
                <w:szCs w:val="20"/>
              </w:rPr>
            </w:pPr>
            <w:r w:rsidRPr="00FF1FCB">
              <w:rPr>
                <w:rFonts w:eastAsia="Times New Roman"/>
                <w:color w:val="000000"/>
                <w:sz w:val="20"/>
                <w:szCs w:val="20"/>
              </w:rPr>
              <w:t>Yes</w:t>
            </w:r>
          </w:p>
        </w:tc>
      </w:tr>
      <w:tr w:rsidR="001F5171" w:rsidRPr="00FF1FCB" w:rsidTr="0093428B">
        <w:trPr>
          <w:trHeight w:val="360"/>
          <w:jc w:val="center"/>
        </w:trPr>
        <w:tc>
          <w:tcPr>
            <w:tcW w:w="1137" w:type="pct"/>
            <w:tcBorders>
              <w:top w:val="nil"/>
              <w:left w:val="nil"/>
              <w:bottom w:val="single" w:sz="4" w:space="0" w:color="auto"/>
              <w:right w:val="nil"/>
            </w:tcBorders>
            <w:shd w:val="clear" w:color="auto" w:fill="auto"/>
            <w:noWrap/>
            <w:vAlign w:val="center"/>
            <w:hideMark/>
          </w:tcPr>
          <w:p w:rsidR="001F5171" w:rsidRPr="00FF1FCB" w:rsidRDefault="001F5171" w:rsidP="0093428B">
            <w:pPr>
              <w:spacing w:line="276" w:lineRule="auto"/>
              <w:rPr>
                <w:rFonts w:eastAsia="Times New Roman"/>
                <w:color w:val="000000"/>
                <w:sz w:val="22"/>
                <w:szCs w:val="22"/>
              </w:rPr>
            </w:pPr>
            <w:r w:rsidRPr="00FF1FCB">
              <w:rPr>
                <w:rFonts w:eastAsia="Times New Roman"/>
                <w:color w:val="000000"/>
                <w:sz w:val="22"/>
                <w:szCs w:val="22"/>
              </w:rPr>
              <w:t>Location</w:t>
            </w:r>
            <w:r w:rsidR="0093428B">
              <w:rPr>
                <w:rFonts w:eastAsia="Times New Roman"/>
                <w:color w:val="000000"/>
                <w:sz w:val="22"/>
                <w:szCs w:val="22"/>
              </w:rPr>
              <w:t>-based</w:t>
            </w:r>
            <w:r w:rsidRPr="00FF1FCB">
              <w:rPr>
                <w:rFonts w:eastAsia="Times New Roman"/>
                <w:color w:val="000000"/>
                <w:sz w:val="22"/>
                <w:szCs w:val="22"/>
              </w:rPr>
              <w:t xml:space="preserve"> </w:t>
            </w:r>
            <w:r w:rsidR="0093428B">
              <w:rPr>
                <w:rFonts w:eastAsia="Times New Roman"/>
                <w:color w:val="000000"/>
                <w:sz w:val="22"/>
                <w:szCs w:val="22"/>
              </w:rPr>
              <w:t>FE</w:t>
            </w:r>
          </w:p>
        </w:tc>
        <w:tc>
          <w:tcPr>
            <w:tcW w:w="856" w:type="pct"/>
            <w:tcBorders>
              <w:top w:val="nil"/>
              <w:left w:val="nil"/>
              <w:bottom w:val="single" w:sz="8" w:space="0" w:color="auto"/>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0"/>
                <w:szCs w:val="20"/>
              </w:rPr>
            </w:pPr>
            <w:r w:rsidRPr="00FF1FCB">
              <w:rPr>
                <w:rFonts w:eastAsia="Times New Roman"/>
                <w:color w:val="000000"/>
                <w:sz w:val="20"/>
                <w:szCs w:val="20"/>
              </w:rPr>
              <w:t>No</w:t>
            </w:r>
          </w:p>
        </w:tc>
        <w:tc>
          <w:tcPr>
            <w:tcW w:w="601" w:type="pct"/>
            <w:tcBorders>
              <w:top w:val="nil"/>
              <w:left w:val="nil"/>
              <w:bottom w:val="single" w:sz="8" w:space="0" w:color="auto"/>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0"/>
                <w:szCs w:val="20"/>
              </w:rPr>
            </w:pPr>
            <w:r w:rsidRPr="00FF1FCB">
              <w:rPr>
                <w:rFonts w:eastAsia="Times New Roman"/>
                <w:color w:val="000000"/>
                <w:sz w:val="20"/>
                <w:szCs w:val="20"/>
              </w:rPr>
              <w:t>No</w:t>
            </w:r>
          </w:p>
        </w:tc>
        <w:tc>
          <w:tcPr>
            <w:tcW w:w="602" w:type="pct"/>
            <w:tcBorders>
              <w:top w:val="nil"/>
              <w:left w:val="nil"/>
              <w:bottom w:val="single" w:sz="8" w:space="0" w:color="auto"/>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0"/>
                <w:szCs w:val="20"/>
              </w:rPr>
            </w:pPr>
            <w:r w:rsidRPr="00FF1FCB">
              <w:rPr>
                <w:rFonts w:eastAsia="Times New Roman"/>
                <w:color w:val="000000"/>
                <w:sz w:val="20"/>
                <w:szCs w:val="20"/>
              </w:rPr>
              <w:t>Yes</w:t>
            </w:r>
          </w:p>
        </w:tc>
        <w:tc>
          <w:tcPr>
            <w:tcW w:w="601" w:type="pct"/>
            <w:tcBorders>
              <w:top w:val="nil"/>
              <w:left w:val="single" w:sz="4" w:space="0" w:color="auto"/>
              <w:bottom w:val="single" w:sz="8" w:space="0" w:color="auto"/>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0"/>
                <w:szCs w:val="20"/>
              </w:rPr>
            </w:pPr>
            <w:r w:rsidRPr="00FF1FCB">
              <w:rPr>
                <w:rFonts w:eastAsia="Times New Roman"/>
                <w:color w:val="000000"/>
                <w:sz w:val="20"/>
                <w:szCs w:val="20"/>
              </w:rPr>
              <w:t>No</w:t>
            </w:r>
          </w:p>
        </w:tc>
        <w:tc>
          <w:tcPr>
            <w:tcW w:w="602" w:type="pct"/>
            <w:tcBorders>
              <w:top w:val="nil"/>
              <w:left w:val="nil"/>
              <w:bottom w:val="single" w:sz="8" w:space="0" w:color="auto"/>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0"/>
                <w:szCs w:val="20"/>
              </w:rPr>
            </w:pPr>
            <w:r w:rsidRPr="00FF1FCB">
              <w:rPr>
                <w:rFonts w:eastAsia="Times New Roman"/>
                <w:color w:val="000000"/>
                <w:sz w:val="20"/>
                <w:szCs w:val="20"/>
              </w:rPr>
              <w:t>No</w:t>
            </w:r>
          </w:p>
        </w:tc>
        <w:tc>
          <w:tcPr>
            <w:tcW w:w="601" w:type="pct"/>
            <w:tcBorders>
              <w:top w:val="nil"/>
              <w:left w:val="nil"/>
              <w:bottom w:val="single" w:sz="8" w:space="0" w:color="auto"/>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0"/>
                <w:szCs w:val="20"/>
              </w:rPr>
            </w:pPr>
            <w:r w:rsidRPr="00FF1FCB">
              <w:rPr>
                <w:rFonts w:eastAsia="Times New Roman"/>
                <w:color w:val="000000"/>
                <w:sz w:val="20"/>
                <w:szCs w:val="20"/>
              </w:rPr>
              <w:t>Yes</w:t>
            </w:r>
          </w:p>
        </w:tc>
      </w:tr>
      <w:tr w:rsidR="001F5171" w:rsidRPr="00FF1FCB" w:rsidTr="0093428B">
        <w:trPr>
          <w:trHeight w:val="360"/>
          <w:jc w:val="center"/>
        </w:trPr>
        <w:tc>
          <w:tcPr>
            <w:tcW w:w="1137" w:type="pct"/>
            <w:tcBorders>
              <w:top w:val="nil"/>
              <w:left w:val="nil"/>
              <w:bottom w:val="nil"/>
              <w:right w:val="nil"/>
            </w:tcBorders>
            <w:shd w:val="clear" w:color="auto" w:fill="auto"/>
            <w:noWrap/>
            <w:vAlign w:val="center"/>
            <w:hideMark/>
          </w:tcPr>
          <w:p w:rsidR="001F5171" w:rsidRPr="00FF1FCB" w:rsidRDefault="001F5171" w:rsidP="000A37DA">
            <w:pPr>
              <w:spacing w:line="276" w:lineRule="auto"/>
              <w:rPr>
                <w:rFonts w:eastAsia="Times New Roman"/>
                <w:color w:val="000000"/>
                <w:sz w:val="22"/>
                <w:szCs w:val="22"/>
              </w:rPr>
            </w:pPr>
            <w:r w:rsidRPr="00FF1FCB">
              <w:rPr>
                <w:rFonts w:eastAsia="Times New Roman"/>
                <w:color w:val="000000"/>
                <w:sz w:val="22"/>
                <w:szCs w:val="22"/>
              </w:rPr>
              <w:t>Adj. R-Squared</w:t>
            </w:r>
          </w:p>
        </w:tc>
        <w:tc>
          <w:tcPr>
            <w:tcW w:w="856" w:type="pct"/>
            <w:tcBorders>
              <w:top w:val="nil"/>
              <w:left w:val="nil"/>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0.0102</w:t>
            </w:r>
          </w:p>
        </w:tc>
        <w:tc>
          <w:tcPr>
            <w:tcW w:w="601" w:type="pct"/>
            <w:tcBorders>
              <w:top w:val="nil"/>
              <w:left w:val="nil"/>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0.1158</w:t>
            </w:r>
          </w:p>
        </w:tc>
        <w:tc>
          <w:tcPr>
            <w:tcW w:w="602" w:type="pct"/>
            <w:tcBorders>
              <w:top w:val="nil"/>
              <w:left w:val="nil"/>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0.1742</w:t>
            </w:r>
          </w:p>
        </w:tc>
        <w:tc>
          <w:tcPr>
            <w:tcW w:w="601" w:type="pct"/>
            <w:tcBorders>
              <w:top w:val="nil"/>
              <w:left w:val="single" w:sz="4" w:space="0" w:color="auto"/>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0.0102</w:t>
            </w:r>
          </w:p>
        </w:tc>
        <w:tc>
          <w:tcPr>
            <w:tcW w:w="602" w:type="pct"/>
            <w:tcBorders>
              <w:top w:val="nil"/>
              <w:left w:val="nil"/>
              <w:bottom w:val="nil"/>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0.1158</w:t>
            </w:r>
          </w:p>
        </w:tc>
        <w:tc>
          <w:tcPr>
            <w:tcW w:w="601" w:type="pct"/>
            <w:tcBorders>
              <w:top w:val="nil"/>
              <w:left w:val="nil"/>
              <w:bottom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0.1742</w:t>
            </w:r>
          </w:p>
        </w:tc>
      </w:tr>
      <w:tr w:rsidR="001F5171" w:rsidRPr="00FF1FCB" w:rsidTr="0093428B">
        <w:trPr>
          <w:trHeight w:val="360"/>
          <w:jc w:val="center"/>
        </w:trPr>
        <w:tc>
          <w:tcPr>
            <w:tcW w:w="1137" w:type="pct"/>
            <w:tcBorders>
              <w:top w:val="nil"/>
              <w:left w:val="nil"/>
              <w:bottom w:val="single" w:sz="4" w:space="0" w:color="auto"/>
              <w:right w:val="nil"/>
            </w:tcBorders>
            <w:shd w:val="clear" w:color="auto" w:fill="auto"/>
            <w:noWrap/>
            <w:vAlign w:val="center"/>
            <w:hideMark/>
          </w:tcPr>
          <w:p w:rsidR="001F5171" w:rsidRPr="00FF1FCB" w:rsidRDefault="001F5171" w:rsidP="000A37DA">
            <w:pPr>
              <w:spacing w:line="276" w:lineRule="auto"/>
              <w:rPr>
                <w:rFonts w:eastAsia="Times New Roman"/>
                <w:color w:val="000000"/>
                <w:sz w:val="22"/>
                <w:szCs w:val="22"/>
              </w:rPr>
            </w:pPr>
            <w:r w:rsidRPr="00FF1FCB">
              <w:rPr>
                <w:rFonts w:eastAsia="Times New Roman"/>
                <w:color w:val="000000"/>
                <w:sz w:val="22"/>
                <w:szCs w:val="22"/>
              </w:rPr>
              <w:t>N</w:t>
            </w:r>
          </w:p>
        </w:tc>
        <w:tc>
          <w:tcPr>
            <w:tcW w:w="856" w:type="pct"/>
            <w:tcBorders>
              <w:top w:val="nil"/>
              <w:left w:val="nil"/>
              <w:bottom w:val="single" w:sz="4" w:space="0" w:color="auto"/>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1020</w:t>
            </w:r>
          </w:p>
        </w:tc>
        <w:tc>
          <w:tcPr>
            <w:tcW w:w="601" w:type="pct"/>
            <w:tcBorders>
              <w:top w:val="nil"/>
              <w:left w:val="nil"/>
              <w:bottom w:val="single" w:sz="4" w:space="0" w:color="auto"/>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1020</w:t>
            </w:r>
          </w:p>
        </w:tc>
        <w:tc>
          <w:tcPr>
            <w:tcW w:w="602" w:type="pct"/>
            <w:tcBorders>
              <w:top w:val="nil"/>
              <w:left w:val="nil"/>
              <w:bottom w:val="single" w:sz="4" w:space="0" w:color="auto"/>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1020</w:t>
            </w:r>
          </w:p>
        </w:tc>
        <w:tc>
          <w:tcPr>
            <w:tcW w:w="601" w:type="pct"/>
            <w:tcBorders>
              <w:top w:val="nil"/>
              <w:left w:val="single" w:sz="4" w:space="0" w:color="auto"/>
              <w:bottom w:val="single" w:sz="4" w:space="0" w:color="auto"/>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1020</w:t>
            </w:r>
          </w:p>
        </w:tc>
        <w:tc>
          <w:tcPr>
            <w:tcW w:w="602" w:type="pct"/>
            <w:tcBorders>
              <w:top w:val="nil"/>
              <w:left w:val="nil"/>
              <w:bottom w:val="single" w:sz="4" w:space="0" w:color="auto"/>
              <w:right w:val="nil"/>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1020</w:t>
            </w:r>
          </w:p>
        </w:tc>
        <w:tc>
          <w:tcPr>
            <w:tcW w:w="601" w:type="pct"/>
            <w:tcBorders>
              <w:top w:val="nil"/>
              <w:left w:val="nil"/>
              <w:bottom w:val="single" w:sz="4" w:space="0" w:color="auto"/>
            </w:tcBorders>
            <w:shd w:val="clear" w:color="auto" w:fill="auto"/>
            <w:noWrap/>
            <w:vAlign w:val="center"/>
            <w:hideMark/>
          </w:tcPr>
          <w:p w:rsidR="001F5171" w:rsidRPr="00FF1FCB" w:rsidRDefault="001F5171" w:rsidP="000A37DA">
            <w:pPr>
              <w:spacing w:line="276" w:lineRule="auto"/>
              <w:jc w:val="center"/>
              <w:rPr>
                <w:rFonts w:eastAsia="Times New Roman"/>
                <w:color w:val="000000"/>
                <w:sz w:val="22"/>
                <w:szCs w:val="22"/>
              </w:rPr>
            </w:pPr>
            <w:r w:rsidRPr="00FF1FCB">
              <w:rPr>
                <w:rFonts w:eastAsia="Times New Roman"/>
                <w:color w:val="000000"/>
                <w:sz w:val="22"/>
                <w:szCs w:val="22"/>
              </w:rPr>
              <w:t>1020</w:t>
            </w:r>
          </w:p>
        </w:tc>
      </w:tr>
      <w:tr w:rsidR="001F5171" w:rsidRPr="00FF1FCB" w:rsidTr="0093428B">
        <w:trPr>
          <w:trHeight w:val="360"/>
          <w:jc w:val="center"/>
        </w:trPr>
        <w:tc>
          <w:tcPr>
            <w:tcW w:w="5000" w:type="pct"/>
            <w:gridSpan w:val="7"/>
            <w:tcBorders>
              <w:top w:val="single" w:sz="4" w:space="0" w:color="auto"/>
              <w:left w:val="nil"/>
              <w:bottom w:val="nil"/>
              <w:right w:val="nil"/>
            </w:tcBorders>
            <w:shd w:val="clear" w:color="auto" w:fill="auto"/>
            <w:noWrap/>
            <w:vAlign w:val="center"/>
            <w:hideMark/>
          </w:tcPr>
          <w:p w:rsidR="001F5171" w:rsidRPr="00FF1FCB" w:rsidRDefault="001F5171" w:rsidP="000A37DA">
            <w:pPr>
              <w:spacing w:line="276" w:lineRule="auto"/>
              <w:rPr>
                <w:rFonts w:eastAsia="Times New Roman"/>
                <w:i/>
                <w:iCs/>
                <w:color w:val="000000"/>
                <w:sz w:val="20"/>
                <w:szCs w:val="20"/>
              </w:rPr>
            </w:pPr>
            <w:r w:rsidRPr="00F74E3C">
              <w:rPr>
                <w:rFonts w:eastAsia="Times New Roman"/>
                <w:iCs/>
                <w:color w:val="000000"/>
                <w:sz w:val="20"/>
                <w:szCs w:val="20"/>
              </w:rPr>
              <w:t>Note</w:t>
            </w:r>
            <w:r w:rsidRPr="00FF1FCB">
              <w:rPr>
                <w:rFonts w:eastAsia="Times New Roman"/>
                <w:color w:val="000000"/>
                <w:sz w:val="20"/>
                <w:szCs w:val="20"/>
              </w:rPr>
              <w:t>: * p&lt;0.10, ** p&lt;0.05, *** p&lt;0.01. Full results are presented in the Appendix.</w:t>
            </w:r>
          </w:p>
        </w:tc>
      </w:tr>
    </w:tbl>
    <w:p w:rsidR="001F5171" w:rsidRDefault="001F5171" w:rsidP="009F6424">
      <w:pPr>
        <w:pStyle w:val="ListParagraph"/>
        <w:spacing w:line="480" w:lineRule="auto"/>
        <w:ind w:left="0"/>
        <w:jc w:val="both"/>
      </w:pPr>
    </w:p>
    <w:p w:rsidR="001460C0" w:rsidRDefault="00C80694" w:rsidP="009F6424">
      <w:pPr>
        <w:pStyle w:val="ListParagraph"/>
        <w:spacing w:line="480" w:lineRule="auto"/>
        <w:ind w:left="0"/>
        <w:jc w:val="both"/>
      </w:pPr>
      <w:r>
        <w:lastRenderedPageBreak/>
        <w:t>Table 3</w:t>
      </w:r>
      <w:r w:rsidR="00D13FA0">
        <w:t xml:space="preserve"> provides the results for the effect of displacement on food insecurity, again reporting the relative risk ratio in comparison to the base category of never having </w:t>
      </w:r>
      <w:r w:rsidR="00E762A3">
        <w:t xml:space="preserve">problems satisfying food needs </w:t>
      </w:r>
      <w:r w:rsidR="00D13FA0">
        <w:t xml:space="preserve">along with the standard errors in parentheses. Contrary to the former </w:t>
      </w:r>
      <w:r w:rsidR="009B14E3">
        <w:t xml:space="preserve">model, here we find robust results across model specification that a displaced household has a greater likelihood of being food insecure at both levels, rarely having problems satisfying food needs (1-2 times/month) and often having problems satisfying food needs (&gt;3 times/month). In particular, when comparing across these two distinct levels of food insecurity we find a displaced household has greater odds of being </w:t>
      </w:r>
      <w:r w:rsidR="00B11E66">
        <w:t>more</w:t>
      </w:r>
      <w:r w:rsidR="009B14E3">
        <w:t xml:space="preserve"> food insecure, although this result does not hold once controlling for location. Regardless, our findings paint a clear picture that displaced households are more food insecure than those that never migrated.</w:t>
      </w:r>
    </w:p>
    <w:p w:rsidR="001F5171" w:rsidRDefault="001F5171" w:rsidP="009F6424">
      <w:pPr>
        <w:pStyle w:val="ListParagraph"/>
        <w:spacing w:line="480" w:lineRule="auto"/>
        <w:ind w:left="0"/>
        <w:jc w:val="both"/>
      </w:pPr>
    </w:p>
    <w:tbl>
      <w:tblPr>
        <w:tblW w:w="5000" w:type="pct"/>
        <w:tblLayout w:type="fixed"/>
        <w:tblLook w:val="04A0" w:firstRow="1" w:lastRow="0" w:firstColumn="1" w:lastColumn="0" w:noHBand="0" w:noVBand="1"/>
      </w:tblPr>
      <w:tblGrid>
        <w:gridCol w:w="2177"/>
        <w:gridCol w:w="1721"/>
        <w:gridCol w:w="1136"/>
        <w:gridCol w:w="1136"/>
        <w:gridCol w:w="1136"/>
        <w:gridCol w:w="1136"/>
        <w:gridCol w:w="1134"/>
      </w:tblGrid>
      <w:tr w:rsidR="00FF1FCB" w:rsidRPr="00B6514D" w:rsidTr="0093428B">
        <w:trPr>
          <w:trHeight w:val="360"/>
        </w:trPr>
        <w:tc>
          <w:tcPr>
            <w:tcW w:w="5000" w:type="pct"/>
            <w:gridSpan w:val="7"/>
            <w:tcBorders>
              <w:top w:val="nil"/>
              <w:left w:val="nil"/>
              <w:bottom w:val="double" w:sz="6" w:space="0" w:color="auto"/>
              <w:right w:val="nil"/>
            </w:tcBorders>
            <w:shd w:val="clear" w:color="auto" w:fill="auto"/>
            <w:noWrap/>
            <w:vAlign w:val="center"/>
            <w:hideMark/>
          </w:tcPr>
          <w:p w:rsidR="00FF1FCB" w:rsidRPr="00B6514D" w:rsidRDefault="00FF1FCB" w:rsidP="00C80694">
            <w:pPr>
              <w:spacing w:line="276" w:lineRule="auto"/>
              <w:rPr>
                <w:rFonts w:eastAsia="Times New Roman"/>
                <w:bCs/>
                <w:color w:val="000000"/>
              </w:rPr>
            </w:pPr>
            <w:r w:rsidRPr="00B6514D">
              <w:rPr>
                <w:rFonts w:eastAsia="Times New Roman"/>
                <w:bCs/>
                <w:color w:val="000000"/>
              </w:rPr>
              <w:t xml:space="preserve">Table </w:t>
            </w:r>
            <w:r w:rsidR="00C80694">
              <w:rPr>
                <w:rFonts w:eastAsia="Times New Roman"/>
                <w:bCs/>
                <w:color w:val="000000"/>
              </w:rPr>
              <w:t>3</w:t>
            </w:r>
            <w:r w:rsidRPr="00B6514D">
              <w:rPr>
                <w:rFonts w:eastAsia="Times New Roman"/>
                <w:bCs/>
                <w:color w:val="000000"/>
              </w:rPr>
              <w:t>: Food Insecurity</w:t>
            </w:r>
          </w:p>
        </w:tc>
      </w:tr>
      <w:tr w:rsidR="00FF1FCB" w:rsidRPr="00B6514D" w:rsidTr="0093428B">
        <w:trPr>
          <w:trHeight w:val="360"/>
        </w:trPr>
        <w:tc>
          <w:tcPr>
            <w:tcW w:w="1137" w:type="pct"/>
            <w:tcBorders>
              <w:top w:val="nil"/>
              <w:left w:val="nil"/>
              <w:bottom w:val="single" w:sz="4" w:space="0" w:color="auto"/>
              <w:right w:val="nil"/>
            </w:tcBorders>
            <w:shd w:val="clear" w:color="auto" w:fill="auto"/>
            <w:noWrap/>
            <w:vAlign w:val="center"/>
            <w:hideMark/>
          </w:tcPr>
          <w:p w:rsidR="00FF1FCB" w:rsidRPr="00B6514D" w:rsidRDefault="00FF1FCB" w:rsidP="00B72CAF">
            <w:pPr>
              <w:spacing w:line="276" w:lineRule="auto"/>
              <w:rPr>
                <w:rFonts w:eastAsia="Times New Roman"/>
                <w:color w:val="000000"/>
                <w:sz w:val="22"/>
                <w:szCs w:val="22"/>
              </w:rPr>
            </w:pPr>
            <w:r w:rsidRPr="00B6514D">
              <w:rPr>
                <w:rFonts w:eastAsia="Times New Roman"/>
                <w:color w:val="000000"/>
                <w:sz w:val="22"/>
                <w:szCs w:val="22"/>
              </w:rPr>
              <w:t>Base Category: Never</w:t>
            </w:r>
          </w:p>
        </w:tc>
        <w:tc>
          <w:tcPr>
            <w:tcW w:w="2085" w:type="pct"/>
            <w:gridSpan w:val="3"/>
            <w:tcBorders>
              <w:top w:val="double" w:sz="6" w:space="0" w:color="auto"/>
              <w:left w:val="nil"/>
              <w:bottom w:val="single" w:sz="4" w:space="0" w:color="auto"/>
              <w:right w:val="single" w:sz="4" w:space="0" w:color="000000"/>
            </w:tcBorders>
            <w:shd w:val="clear" w:color="auto" w:fill="auto"/>
            <w:noWrap/>
            <w:vAlign w:val="center"/>
            <w:hideMark/>
          </w:tcPr>
          <w:p w:rsidR="00FF1FCB" w:rsidRPr="00B6514D" w:rsidRDefault="00FF1FCB" w:rsidP="00B72CAF">
            <w:pPr>
              <w:spacing w:line="276" w:lineRule="auto"/>
              <w:jc w:val="center"/>
              <w:rPr>
                <w:rFonts w:eastAsia="Times New Roman"/>
                <w:color w:val="000000"/>
                <w:sz w:val="22"/>
                <w:szCs w:val="22"/>
              </w:rPr>
            </w:pPr>
            <w:r w:rsidRPr="00B6514D">
              <w:rPr>
                <w:rFonts w:eastAsia="Times New Roman"/>
                <w:color w:val="000000"/>
                <w:sz w:val="22"/>
                <w:szCs w:val="22"/>
              </w:rPr>
              <w:t>Rarely (1-2 times/month)</w:t>
            </w:r>
          </w:p>
        </w:tc>
        <w:tc>
          <w:tcPr>
            <w:tcW w:w="1777" w:type="pct"/>
            <w:gridSpan w:val="3"/>
            <w:tcBorders>
              <w:top w:val="double" w:sz="6" w:space="0" w:color="auto"/>
              <w:left w:val="nil"/>
              <w:bottom w:val="single" w:sz="4" w:space="0" w:color="auto"/>
              <w:right w:val="nil"/>
            </w:tcBorders>
            <w:shd w:val="clear" w:color="auto" w:fill="auto"/>
            <w:noWrap/>
            <w:vAlign w:val="center"/>
            <w:hideMark/>
          </w:tcPr>
          <w:p w:rsidR="00FF1FCB" w:rsidRPr="00B6514D" w:rsidRDefault="00FF1FCB" w:rsidP="00B72CAF">
            <w:pPr>
              <w:spacing w:line="276" w:lineRule="auto"/>
              <w:jc w:val="center"/>
              <w:rPr>
                <w:rFonts w:eastAsia="Times New Roman"/>
                <w:color w:val="000000"/>
                <w:sz w:val="22"/>
                <w:szCs w:val="22"/>
              </w:rPr>
            </w:pPr>
            <w:r w:rsidRPr="00B6514D">
              <w:rPr>
                <w:rFonts w:eastAsia="Times New Roman"/>
                <w:color w:val="000000"/>
                <w:sz w:val="22"/>
                <w:szCs w:val="22"/>
              </w:rPr>
              <w:t>Often (&gt; 3 times/month)</w:t>
            </w:r>
          </w:p>
        </w:tc>
      </w:tr>
      <w:tr w:rsidR="00FF1FCB" w:rsidRPr="00FF1FCB" w:rsidTr="0093428B">
        <w:trPr>
          <w:trHeight w:val="360"/>
        </w:trPr>
        <w:tc>
          <w:tcPr>
            <w:tcW w:w="1137" w:type="pct"/>
            <w:tcBorders>
              <w:top w:val="single" w:sz="4" w:space="0" w:color="auto"/>
              <w:left w:val="nil"/>
              <w:bottom w:val="nil"/>
              <w:right w:val="nil"/>
            </w:tcBorders>
            <w:shd w:val="clear" w:color="auto" w:fill="auto"/>
            <w:noWrap/>
            <w:vAlign w:val="center"/>
            <w:hideMark/>
          </w:tcPr>
          <w:p w:rsidR="00FF1FCB" w:rsidRPr="00FF1FCB" w:rsidRDefault="00FF1FCB" w:rsidP="00B72CAF">
            <w:pPr>
              <w:spacing w:line="276" w:lineRule="auto"/>
              <w:rPr>
                <w:rFonts w:eastAsia="Times New Roman"/>
                <w:color w:val="000000"/>
                <w:sz w:val="22"/>
                <w:szCs w:val="22"/>
              </w:rPr>
            </w:pPr>
            <w:r w:rsidRPr="00FF1FCB">
              <w:rPr>
                <w:rFonts w:eastAsia="Times New Roman"/>
                <w:color w:val="000000"/>
                <w:sz w:val="22"/>
                <w:szCs w:val="22"/>
              </w:rPr>
              <w:t>Internally Displaced</w:t>
            </w:r>
          </w:p>
        </w:tc>
        <w:tc>
          <w:tcPr>
            <w:tcW w:w="899" w:type="pct"/>
            <w:tcBorders>
              <w:top w:val="single" w:sz="4" w:space="0" w:color="auto"/>
              <w:left w:val="nil"/>
              <w:bottom w:val="nil"/>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2"/>
                <w:szCs w:val="22"/>
              </w:rPr>
            </w:pPr>
            <w:r w:rsidRPr="00FF1FCB">
              <w:rPr>
                <w:rFonts w:eastAsia="Times New Roman"/>
                <w:color w:val="000000"/>
                <w:sz w:val="22"/>
                <w:szCs w:val="22"/>
              </w:rPr>
              <w:t>1.9005***</w:t>
            </w:r>
          </w:p>
        </w:tc>
        <w:tc>
          <w:tcPr>
            <w:tcW w:w="593" w:type="pct"/>
            <w:tcBorders>
              <w:top w:val="single" w:sz="4" w:space="0" w:color="auto"/>
              <w:left w:val="nil"/>
              <w:bottom w:val="nil"/>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2"/>
                <w:szCs w:val="22"/>
              </w:rPr>
            </w:pPr>
            <w:r w:rsidRPr="00FF1FCB">
              <w:rPr>
                <w:rFonts w:eastAsia="Times New Roman"/>
                <w:color w:val="000000"/>
                <w:sz w:val="22"/>
                <w:szCs w:val="22"/>
              </w:rPr>
              <w:t>1.9340***</w:t>
            </w:r>
          </w:p>
        </w:tc>
        <w:tc>
          <w:tcPr>
            <w:tcW w:w="593" w:type="pct"/>
            <w:tcBorders>
              <w:top w:val="single" w:sz="4" w:space="0" w:color="auto"/>
              <w:left w:val="nil"/>
              <w:bottom w:val="nil"/>
              <w:right w:val="single" w:sz="4" w:space="0" w:color="auto"/>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2"/>
                <w:szCs w:val="22"/>
              </w:rPr>
            </w:pPr>
            <w:r w:rsidRPr="00FF1FCB">
              <w:rPr>
                <w:rFonts w:eastAsia="Times New Roman"/>
                <w:color w:val="000000"/>
                <w:sz w:val="22"/>
                <w:szCs w:val="22"/>
              </w:rPr>
              <w:t>2.0554***</w:t>
            </w:r>
          </w:p>
        </w:tc>
        <w:tc>
          <w:tcPr>
            <w:tcW w:w="593" w:type="pct"/>
            <w:tcBorders>
              <w:top w:val="single" w:sz="4" w:space="0" w:color="auto"/>
              <w:left w:val="nil"/>
              <w:bottom w:val="nil"/>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2"/>
                <w:szCs w:val="22"/>
              </w:rPr>
            </w:pPr>
            <w:r w:rsidRPr="00FF1FCB">
              <w:rPr>
                <w:rFonts w:eastAsia="Times New Roman"/>
                <w:color w:val="000000"/>
                <w:sz w:val="22"/>
                <w:szCs w:val="22"/>
              </w:rPr>
              <w:t>2.0895***</w:t>
            </w:r>
          </w:p>
        </w:tc>
        <w:tc>
          <w:tcPr>
            <w:tcW w:w="593" w:type="pct"/>
            <w:tcBorders>
              <w:top w:val="single" w:sz="4" w:space="0" w:color="auto"/>
              <w:left w:val="nil"/>
              <w:bottom w:val="nil"/>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2"/>
                <w:szCs w:val="22"/>
              </w:rPr>
            </w:pPr>
            <w:r w:rsidRPr="00FF1FCB">
              <w:rPr>
                <w:rFonts w:eastAsia="Times New Roman"/>
                <w:color w:val="000000"/>
                <w:sz w:val="22"/>
                <w:szCs w:val="22"/>
              </w:rPr>
              <w:t>2.1239***</w:t>
            </w:r>
          </w:p>
        </w:tc>
        <w:tc>
          <w:tcPr>
            <w:tcW w:w="591" w:type="pct"/>
            <w:tcBorders>
              <w:top w:val="single" w:sz="4" w:space="0" w:color="auto"/>
              <w:left w:val="nil"/>
              <w:bottom w:val="nil"/>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2"/>
                <w:szCs w:val="22"/>
              </w:rPr>
            </w:pPr>
            <w:r w:rsidRPr="00FF1FCB">
              <w:rPr>
                <w:rFonts w:eastAsia="Times New Roman"/>
                <w:color w:val="000000"/>
                <w:sz w:val="22"/>
                <w:szCs w:val="22"/>
              </w:rPr>
              <w:t>2.0358***</w:t>
            </w:r>
          </w:p>
        </w:tc>
      </w:tr>
      <w:tr w:rsidR="00FF1FCB" w:rsidRPr="00FF1FCB" w:rsidTr="0093428B">
        <w:trPr>
          <w:trHeight w:val="360"/>
        </w:trPr>
        <w:tc>
          <w:tcPr>
            <w:tcW w:w="1137" w:type="pct"/>
            <w:tcBorders>
              <w:top w:val="nil"/>
              <w:left w:val="nil"/>
              <w:bottom w:val="nil"/>
              <w:right w:val="nil"/>
            </w:tcBorders>
            <w:shd w:val="clear" w:color="auto" w:fill="auto"/>
            <w:noWrap/>
            <w:vAlign w:val="center"/>
            <w:hideMark/>
          </w:tcPr>
          <w:p w:rsidR="00FF1FCB" w:rsidRPr="00FF1FCB" w:rsidRDefault="00FF1FCB" w:rsidP="00B72CAF">
            <w:pPr>
              <w:spacing w:line="276" w:lineRule="auto"/>
              <w:rPr>
                <w:rFonts w:eastAsia="Times New Roman"/>
                <w:color w:val="000000"/>
                <w:sz w:val="22"/>
                <w:szCs w:val="22"/>
              </w:rPr>
            </w:pPr>
          </w:p>
        </w:tc>
        <w:tc>
          <w:tcPr>
            <w:tcW w:w="899" w:type="pct"/>
            <w:tcBorders>
              <w:top w:val="nil"/>
              <w:left w:val="nil"/>
              <w:bottom w:val="nil"/>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2"/>
                <w:szCs w:val="22"/>
              </w:rPr>
            </w:pPr>
            <w:r w:rsidRPr="00FF1FCB">
              <w:rPr>
                <w:rFonts w:eastAsia="Times New Roman"/>
                <w:color w:val="000000"/>
                <w:sz w:val="22"/>
                <w:szCs w:val="22"/>
              </w:rPr>
              <w:t>(0.3522)</w:t>
            </w:r>
          </w:p>
        </w:tc>
        <w:tc>
          <w:tcPr>
            <w:tcW w:w="593" w:type="pct"/>
            <w:tcBorders>
              <w:top w:val="nil"/>
              <w:left w:val="nil"/>
              <w:bottom w:val="nil"/>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2"/>
                <w:szCs w:val="22"/>
              </w:rPr>
            </w:pPr>
            <w:r w:rsidRPr="00FF1FCB">
              <w:rPr>
                <w:rFonts w:eastAsia="Times New Roman"/>
                <w:color w:val="000000"/>
                <w:sz w:val="22"/>
                <w:szCs w:val="22"/>
              </w:rPr>
              <w:t>(0.3836)</w:t>
            </w:r>
          </w:p>
        </w:tc>
        <w:tc>
          <w:tcPr>
            <w:tcW w:w="593" w:type="pct"/>
            <w:tcBorders>
              <w:top w:val="nil"/>
              <w:left w:val="nil"/>
              <w:bottom w:val="nil"/>
              <w:right w:val="single" w:sz="4" w:space="0" w:color="auto"/>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2"/>
                <w:szCs w:val="22"/>
              </w:rPr>
            </w:pPr>
            <w:r w:rsidRPr="00FF1FCB">
              <w:rPr>
                <w:rFonts w:eastAsia="Times New Roman"/>
                <w:color w:val="000000"/>
                <w:sz w:val="22"/>
                <w:szCs w:val="22"/>
              </w:rPr>
              <w:t>(0.4628)</w:t>
            </w:r>
          </w:p>
        </w:tc>
        <w:tc>
          <w:tcPr>
            <w:tcW w:w="593" w:type="pct"/>
            <w:tcBorders>
              <w:top w:val="nil"/>
              <w:left w:val="nil"/>
              <w:bottom w:val="nil"/>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2"/>
                <w:szCs w:val="22"/>
              </w:rPr>
            </w:pPr>
            <w:r w:rsidRPr="00FF1FCB">
              <w:rPr>
                <w:rFonts w:eastAsia="Times New Roman"/>
                <w:color w:val="000000"/>
                <w:sz w:val="22"/>
                <w:szCs w:val="22"/>
              </w:rPr>
              <w:t>(0.3964)</w:t>
            </w:r>
          </w:p>
        </w:tc>
        <w:tc>
          <w:tcPr>
            <w:tcW w:w="593" w:type="pct"/>
            <w:tcBorders>
              <w:top w:val="nil"/>
              <w:left w:val="nil"/>
              <w:bottom w:val="nil"/>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2"/>
                <w:szCs w:val="22"/>
              </w:rPr>
            </w:pPr>
            <w:r w:rsidRPr="00FF1FCB">
              <w:rPr>
                <w:rFonts w:eastAsia="Times New Roman"/>
                <w:color w:val="000000"/>
                <w:sz w:val="22"/>
                <w:szCs w:val="22"/>
              </w:rPr>
              <w:t>(0.4434)</w:t>
            </w:r>
          </w:p>
        </w:tc>
        <w:tc>
          <w:tcPr>
            <w:tcW w:w="591" w:type="pct"/>
            <w:tcBorders>
              <w:top w:val="nil"/>
              <w:left w:val="nil"/>
              <w:bottom w:val="nil"/>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2"/>
                <w:szCs w:val="22"/>
              </w:rPr>
            </w:pPr>
            <w:r w:rsidRPr="00FF1FCB">
              <w:rPr>
                <w:rFonts w:eastAsia="Times New Roman"/>
                <w:color w:val="000000"/>
                <w:sz w:val="22"/>
                <w:szCs w:val="22"/>
              </w:rPr>
              <w:t>(0.4717)</w:t>
            </w:r>
          </w:p>
        </w:tc>
      </w:tr>
      <w:tr w:rsidR="00FF1FCB" w:rsidRPr="00FF1FCB" w:rsidTr="0093428B">
        <w:trPr>
          <w:trHeight w:val="360"/>
        </w:trPr>
        <w:tc>
          <w:tcPr>
            <w:tcW w:w="1137" w:type="pct"/>
            <w:tcBorders>
              <w:top w:val="nil"/>
              <w:left w:val="nil"/>
              <w:bottom w:val="nil"/>
              <w:right w:val="nil"/>
            </w:tcBorders>
            <w:shd w:val="clear" w:color="auto" w:fill="auto"/>
            <w:noWrap/>
            <w:vAlign w:val="center"/>
            <w:hideMark/>
          </w:tcPr>
          <w:p w:rsidR="00FF1FCB" w:rsidRPr="00FF1FCB" w:rsidRDefault="0093428B" w:rsidP="00B72CAF">
            <w:pPr>
              <w:spacing w:line="276" w:lineRule="auto"/>
              <w:rPr>
                <w:rFonts w:eastAsia="Times New Roman"/>
                <w:color w:val="000000"/>
                <w:sz w:val="22"/>
                <w:szCs w:val="22"/>
              </w:rPr>
            </w:pPr>
            <w:r>
              <w:rPr>
                <w:rFonts w:eastAsia="Times New Roman"/>
                <w:color w:val="000000"/>
                <w:sz w:val="22"/>
                <w:szCs w:val="22"/>
              </w:rPr>
              <w:t>HH</w:t>
            </w:r>
            <w:r w:rsidR="00FF1FCB" w:rsidRPr="00FF1FCB">
              <w:rPr>
                <w:rFonts w:eastAsia="Times New Roman"/>
                <w:color w:val="000000"/>
                <w:sz w:val="22"/>
                <w:szCs w:val="22"/>
              </w:rPr>
              <w:t>-level Covariates</w:t>
            </w:r>
          </w:p>
        </w:tc>
        <w:tc>
          <w:tcPr>
            <w:tcW w:w="899" w:type="pct"/>
            <w:tcBorders>
              <w:top w:val="nil"/>
              <w:left w:val="nil"/>
              <w:bottom w:val="nil"/>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0"/>
                <w:szCs w:val="20"/>
              </w:rPr>
            </w:pPr>
            <w:r w:rsidRPr="00FF1FCB">
              <w:rPr>
                <w:rFonts w:eastAsia="Times New Roman"/>
                <w:color w:val="000000"/>
                <w:sz w:val="20"/>
                <w:szCs w:val="20"/>
              </w:rPr>
              <w:t>No</w:t>
            </w:r>
          </w:p>
        </w:tc>
        <w:tc>
          <w:tcPr>
            <w:tcW w:w="593" w:type="pct"/>
            <w:tcBorders>
              <w:top w:val="nil"/>
              <w:left w:val="nil"/>
              <w:bottom w:val="nil"/>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0"/>
                <w:szCs w:val="20"/>
              </w:rPr>
            </w:pPr>
            <w:r w:rsidRPr="00FF1FCB">
              <w:rPr>
                <w:rFonts w:eastAsia="Times New Roman"/>
                <w:color w:val="000000"/>
                <w:sz w:val="20"/>
                <w:szCs w:val="20"/>
              </w:rPr>
              <w:t>Yes</w:t>
            </w:r>
          </w:p>
        </w:tc>
        <w:tc>
          <w:tcPr>
            <w:tcW w:w="593" w:type="pct"/>
            <w:tcBorders>
              <w:top w:val="nil"/>
              <w:left w:val="nil"/>
              <w:bottom w:val="nil"/>
              <w:right w:val="single" w:sz="4" w:space="0" w:color="auto"/>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0"/>
                <w:szCs w:val="20"/>
              </w:rPr>
            </w:pPr>
            <w:r w:rsidRPr="00FF1FCB">
              <w:rPr>
                <w:rFonts w:eastAsia="Times New Roman"/>
                <w:color w:val="000000"/>
                <w:sz w:val="20"/>
                <w:szCs w:val="20"/>
              </w:rPr>
              <w:t>Yes</w:t>
            </w:r>
          </w:p>
        </w:tc>
        <w:tc>
          <w:tcPr>
            <w:tcW w:w="593" w:type="pct"/>
            <w:tcBorders>
              <w:top w:val="nil"/>
              <w:left w:val="nil"/>
              <w:bottom w:val="nil"/>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0"/>
                <w:szCs w:val="20"/>
              </w:rPr>
            </w:pPr>
            <w:r w:rsidRPr="00FF1FCB">
              <w:rPr>
                <w:rFonts w:eastAsia="Times New Roman"/>
                <w:color w:val="000000"/>
                <w:sz w:val="20"/>
                <w:szCs w:val="20"/>
              </w:rPr>
              <w:t>No</w:t>
            </w:r>
          </w:p>
        </w:tc>
        <w:tc>
          <w:tcPr>
            <w:tcW w:w="593" w:type="pct"/>
            <w:tcBorders>
              <w:top w:val="nil"/>
              <w:left w:val="nil"/>
              <w:bottom w:val="nil"/>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0"/>
                <w:szCs w:val="20"/>
              </w:rPr>
            </w:pPr>
            <w:r w:rsidRPr="00FF1FCB">
              <w:rPr>
                <w:rFonts w:eastAsia="Times New Roman"/>
                <w:color w:val="000000"/>
                <w:sz w:val="20"/>
                <w:szCs w:val="20"/>
              </w:rPr>
              <w:t>Yes</w:t>
            </w:r>
          </w:p>
        </w:tc>
        <w:tc>
          <w:tcPr>
            <w:tcW w:w="591" w:type="pct"/>
            <w:tcBorders>
              <w:top w:val="nil"/>
              <w:left w:val="nil"/>
              <w:bottom w:val="nil"/>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0"/>
                <w:szCs w:val="20"/>
              </w:rPr>
            </w:pPr>
            <w:r w:rsidRPr="00FF1FCB">
              <w:rPr>
                <w:rFonts w:eastAsia="Times New Roman"/>
                <w:color w:val="000000"/>
                <w:sz w:val="20"/>
                <w:szCs w:val="20"/>
              </w:rPr>
              <w:t>Yes</w:t>
            </w:r>
          </w:p>
        </w:tc>
      </w:tr>
      <w:tr w:rsidR="00FF1FCB" w:rsidRPr="00FF1FCB" w:rsidTr="0093428B">
        <w:trPr>
          <w:trHeight w:val="360"/>
        </w:trPr>
        <w:tc>
          <w:tcPr>
            <w:tcW w:w="1137" w:type="pct"/>
            <w:tcBorders>
              <w:top w:val="nil"/>
              <w:left w:val="nil"/>
              <w:bottom w:val="single" w:sz="4" w:space="0" w:color="auto"/>
              <w:right w:val="nil"/>
            </w:tcBorders>
            <w:shd w:val="clear" w:color="auto" w:fill="auto"/>
            <w:noWrap/>
            <w:vAlign w:val="center"/>
            <w:hideMark/>
          </w:tcPr>
          <w:p w:rsidR="00FF1FCB" w:rsidRPr="00FF1FCB" w:rsidRDefault="00FF1FCB" w:rsidP="0093428B">
            <w:pPr>
              <w:spacing w:line="276" w:lineRule="auto"/>
              <w:rPr>
                <w:rFonts w:eastAsia="Times New Roman"/>
                <w:color w:val="000000"/>
                <w:sz w:val="22"/>
                <w:szCs w:val="22"/>
              </w:rPr>
            </w:pPr>
            <w:r w:rsidRPr="00FF1FCB">
              <w:rPr>
                <w:rFonts w:eastAsia="Times New Roman"/>
                <w:color w:val="000000"/>
                <w:sz w:val="22"/>
                <w:szCs w:val="22"/>
              </w:rPr>
              <w:t>Location</w:t>
            </w:r>
            <w:r w:rsidR="0093428B">
              <w:rPr>
                <w:rFonts w:eastAsia="Times New Roman"/>
                <w:color w:val="000000"/>
                <w:sz w:val="22"/>
                <w:szCs w:val="22"/>
              </w:rPr>
              <w:t>-based</w:t>
            </w:r>
            <w:r w:rsidRPr="00FF1FCB">
              <w:rPr>
                <w:rFonts w:eastAsia="Times New Roman"/>
                <w:color w:val="000000"/>
                <w:sz w:val="22"/>
                <w:szCs w:val="22"/>
              </w:rPr>
              <w:t xml:space="preserve"> </w:t>
            </w:r>
            <w:r w:rsidR="0093428B">
              <w:rPr>
                <w:rFonts w:eastAsia="Times New Roman"/>
                <w:color w:val="000000"/>
                <w:sz w:val="22"/>
                <w:szCs w:val="22"/>
              </w:rPr>
              <w:t>FE</w:t>
            </w:r>
          </w:p>
        </w:tc>
        <w:tc>
          <w:tcPr>
            <w:tcW w:w="899" w:type="pct"/>
            <w:tcBorders>
              <w:top w:val="nil"/>
              <w:left w:val="nil"/>
              <w:bottom w:val="single" w:sz="8" w:space="0" w:color="auto"/>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0"/>
                <w:szCs w:val="20"/>
              </w:rPr>
            </w:pPr>
            <w:r w:rsidRPr="00FF1FCB">
              <w:rPr>
                <w:rFonts w:eastAsia="Times New Roman"/>
                <w:color w:val="000000"/>
                <w:sz w:val="20"/>
                <w:szCs w:val="20"/>
              </w:rPr>
              <w:t>No</w:t>
            </w:r>
          </w:p>
        </w:tc>
        <w:tc>
          <w:tcPr>
            <w:tcW w:w="593" w:type="pct"/>
            <w:tcBorders>
              <w:top w:val="nil"/>
              <w:left w:val="nil"/>
              <w:bottom w:val="single" w:sz="8" w:space="0" w:color="auto"/>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0"/>
                <w:szCs w:val="20"/>
              </w:rPr>
            </w:pPr>
            <w:r w:rsidRPr="00FF1FCB">
              <w:rPr>
                <w:rFonts w:eastAsia="Times New Roman"/>
                <w:color w:val="000000"/>
                <w:sz w:val="20"/>
                <w:szCs w:val="20"/>
              </w:rPr>
              <w:t>No</w:t>
            </w:r>
          </w:p>
        </w:tc>
        <w:tc>
          <w:tcPr>
            <w:tcW w:w="593" w:type="pct"/>
            <w:tcBorders>
              <w:top w:val="nil"/>
              <w:left w:val="nil"/>
              <w:bottom w:val="single" w:sz="8" w:space="0" w:color="auto"/>
              <w:right w:val="single" w:sz="4" w:space="0" w:color="auto"/>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0"/>
                <w:szCs w:val="20"/>
              </w:rPr>
            </w:pPr>
            <w:r w:rsidRPr="00FF1FCB">
              <w:rPr>
                <w:rFonts w:eastAsia="Times New Roman"/>
                <w:color w:val="000000"/>
                <w:sz w:val="20"/>
                <w:szCs w:val="20"/>
              </w:rPr>
              <w:t>Yes</w:t>
            </w:r>
          </w:p>
        </w:tc>
        <w:tc>
          <w:tcPr>
            <w:tcW w:w="593" w:type="pct"/>
            <w:tcBorders>
              <w:top w:val="nil"/>
              <w:left w:val="nil"/>
              <w:bottom w:val="single" w:sz="8" w:space="0" w:color="auto"/>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0"/>
                <w:szCs w:val="20"/>
              </w:rPr>
            </w:pPr>
            <w:r w:rsidRPr="00FF1FCB">
              <w:rPr>
                <w:rFonts w:eastAsia="Times New Roman"/>
                <w:color w:val="000000"/>
                <w:sz w:val="20"/>
                <w:szCs w:val="20"/>
              </w:rPr>
              <w:t>No</w:t>
            </w:r>
          </w:p>
        </w:tc>
        <w:tc>
          <w:tcPr>
            <w:tcW w:w="593" w:type="pct"/>
            <w:tcBorders>
              <w:top w:val="nil"/>
              <w:left w:val="nil"/>
              <w:bottom w:val="single" w:sz="8" w:space="0" w:color="auto"/>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0"/>
                <w:szCs w:val="20"/>
              </w:rPr>
            </w:pPr>
            <w:r w:rsidRPr="00FF1FCB">
              <w:rPr>
                <w:rFonts w:eastAsia="Times New Roman"/>
                <w:color w:val="000000"/>
                <w:sz w:val="20"/>
                <w:szCs w:val="20"/>
              </w:rPr>
              <w:t>No</w:t>
            </w:r>
          </w:p>
        </w:tc>
        <w:tc>
          <w:tcPr>
            <w:tcW w:w="591" w:type="pct"/>
            <w:tcBorders>
              <w:top w:val="nil"/>
              <w:left w:val="nil"/>
              <w:bottom w:val="single" w:sz="8" w:space="0" w:color="auto"/>
              <w:right w:val="nil"/>
            </w:tcBorders>
            <w:shd w:val="clear" w:color="auto" w:fill="auto"/>
            <w:noWrap/>
            <w:vAlign w:val="center"/>
            <w:hideMark/>
          </w:tcPr>
          <w:p w:rsidR="00FF1FCB" w:rsidRPr="00FF1FCB" w:rsidRDefault="00FF1FCB" w:rsidP="00B72CAF">
            <w:pPr>
              <w:spacing w:line="276" w:lineRule="auto"/>
              <w:jc w:val="center"/>
              <w:rPr>
                <w:rFonts w:eastAsia="Times New Roman"/>
                <w:color w:val="000000"/>
                <w:sz w:val="20"/>
                <w:szCs w:val="20"/>
              </w:rPr>
            </w:pPr>
            <w:r w:rsidRPr="00FF1FCB">
              <w:rPr>
                <w:rFonts w:eastAsia="Times New Roman"/>
                <w:color w:val="000000"/>
                <w:sz w:val="20"/>
                <w:szCs w:val="20"/>
              </w:rPr>
              <w:t>Yes</w:t>
            </w:r>
          </w:p>
        </w:tc>
      </w:tr>
      <w:tr w:rsidR="00B6514D" w:rsidRPr="00FF1FCB" w:rsidTr="0093428B">
        <w:trPr>
          <w:trHeight w:val="360"/>
        </w:trPr>
        <w:tc>
          <w:tcPr>
            <w:tcW w:w="1137" w:type="pct"/>
            <w:tcBorders>
              <w:top w:val="nil"/>
              <w:left w:val="nil"/>
              <w:bottom w:val="nil"/>
              <w:right w:val="nil"/>
            </w:tcBorders>
            <w:shd w:val="clear" w:color="auto" w:fill="auto"/>
            <w:noWrap/>
            <w:vAlign w:val="center"/>
            <w:hideMark/>
          </w:tcPr>
          <w:p w:rsidR="00B6514D" w:rsidRPr="00FF1FCB" w:rsidRDefault="00B6514D" w:rsidP="00B72CAF">
            <w:pPr>
              <w:spacing w:line="276" w:lineRule="auto"/>
              <w:rPr>
                <w:rFonts w:eastAsia="Times New Roman"/>
                <w:color w:val="000000"/>
                <w:sz w:val="22"/>
                <w:szCs w:val="22"/>
              </w:rPr>
            </w:pPr>
            <w:r w:rsidRPr="00FF1FCB">
              <w:rPr>
                <w:rFonts w:eastAsia="Times New Roman"/>
                <w:color w:val="000000"/>
                <w:sz w:val="22"/>
                <w:szCs w:val="22"/>
              </w:rPr>
              <w:t>Adj. R-Squared</w:t>
            </w:r>
          </w:p>
        </w:tc>
        <w:tc>
          <w:tcPr>
            <w:tcW w:w="899" w:type="pct"/>
            <w:tcBorders>
              <w:top w:val="nil"/>
              <w:left w:val="nil"/>
              <w:bottom w:val="nil"/>
              <w:right w:val="nil"/>
            </w:tcBorders>
            <w:shd w:val="clear" w:color="auto" w:fill="auto"/>
            <w:noWrap/>
            <w:vAlign w:val="center"/>
            <w:hideMark/>
          </w:tcPr>
          <w:p w:rsidR="00B6514D" w:rsidRPr="00FF1FCB" w:rsidRDefault="00B6514D" w:rsidP="00B72CAF">
            <w:pPr>
              <w:spacing w:line="276" w:lineRule="auto"/>
              <w:jc w:val="center"/>
              <w:rPr>
                <w:rFonts w:eastAsia="Times New Roman"/>
                <w:color w:val="000000"/>
                <w:sz w:val="22"/>
                <w:szCs w:val="22"/>
              </w:rPr>
            </w:pPr>
            <w:r w:rsidRPr="00FF1FCB">
              <w:rPr>
                <w:rFonts w:eastAsia="Times New Roman"/>
                <w:color w:val="000000"/>
                <w:sz w:val="22"/>
                <w:szCs w:val="22"/>
              </w:rPr>
              <w:t>0.0080</w:t>
            </w:r>
          </w:p>
        </w:tc>
        <w:tc>
          <w:tcPr>
            <w:tcW w:w="593" w:type="pct"/>
            <w:tcBorders>
              <w:top w:val="nil"/>
              <w:left w:val="nil"/>
              <w:bottom w:val="nil"/>
              <w:right w:val="nil"/>
            </w:tcBorders>
            <w:shd w:val="clear" w:color="auto" w:fill="auto"/>
            <w:noWrap/>
            <w:vAlign w:val="center"/>
            <w:hideMark/>
          </w:tcPr>
          <w:p w:rsidR="00B6514D" w:rsidRPr="00FF1FCB" w:rsidRDefault="00B6514D" w:rsidP="00B72CAF">
            <w:pPr>
              <w:spacing w:line="276" w:lineRule="auto"/>
              <w:jc w:val="center"/>
              <w:rPr>
                <w:rFonts w:eastAsia="Times New Roman"/>
                <w:color w:val="000000"/>
                <w:sz w:val="22"/>
                <w:szCs w:val="22"/>
              </w:rPr>
            </w:pPr>
            <w:r w:rsidRPr="00FF1FCB">
              <w:rPr>
                <w:rFonts w:eastAsia="Times New Roman"/>
                <w:color w:val="000000"/>
                <w:sz w:val="22"/>
                <w:szCs w:val="22"/>
              </w:rPr>
              <w:t>0.0533</w:t>
            </w:r>
          </w:p>
        </w:tc>
        <w:tc>
          <w:tcPr>
            <w:tcW w:w="593" w:type="pct"/>
            <w:tcBorders>
              <w:top w:val="nil"/>
              <w:left w:val="nil"/>
              <w:bottom w:val="nil"/>
              <w:right w:val="single" w:sz="4" w:space="0" w:color="auto"/>
            </w:tcBorders>
            <w:shd w:val="clear" w:color="auto" w:fill="auto"/>
            <w:noWrap/>
            <w:vAlign w:val="center"/>
            <w:hideMark/>
          </w:tcPr>
          <w:p w:rsidR="00B6514D" w:rsidRPr="00FF1FCB" w:rsidRDefault="00B6514D" w:rsidP="00B72CAF">
            <w:pPr>
              <w:spacing w:line="276" w:lineRule="auto"/>
              <w:jc w:val="center"/>
              <w:rPr>
                <w:rFonts w:eastAsia="Times New Roman"/>
                <w:color w:val="000000"/>
                <w:sz w:val="22"/>
                <w:szCs w:val="22"/>
              </w:rPr>
            </w:pPr>
            <w:r w:rsidRPr="00FF1FCB">
              <w:rPr>
                <w:rFonts w:eastAsia="Times New Roman"/>
                <w:color w:val="000000"/>
                <w:sz w:val="22"/>
                <w:szCs w:val="22"/>
              </w:rPr>
              <w:t>0.0823</w:t>
            </w:r>
          </w:p>
        </w:tc>
        <w:tc>
          <w:tcPr>
            <w:tcW w:w="593" w:type="pct"/>
            <w:tcBorders>
              <w:top w:val="nil"/>
              <w:left w:val="nil"/>
              <w:bottom w:val="nil"/>
              <w:right w:val="nil"/>
            </w:tcBorders>
            <w:shd w:val="clear" w:color="auto" w:fill="auto"/>
            <w:noWrap/>
            <w:vAlign w:val="center"/>
            <w:hideMark/>
          </w:tcPr>
          <w:p w:rsidR="00B6514D" w:rsidRPr="00FF1FCB" w:rsidRDefault="00B6514D" w:rsidP="00C53DE9">
            <w:pPr>
              <w:spacing w:line="276" w:lineRule="auto"/>
              <w:jc w:val="center"/>
              <w:rPr>
                <w:rFonts w:eastAsia="Times New Roman"/>
                <w:color w:val="000000"/>
                <w:sz w:val="22"/>
                <w:szCs w:val="22"/>
              </w:rPr>
            </w:pPr>
            <w:r w:rsidRPr="00FF1FCB">
              <w:rPr>
                <w:rFonts w:eastAsia="Times New Roman"/>
                <w:color w:val="000000"/>
                <w:sz w:val="22"/>
                <w:szCs w:val="22"/>
              </w:rPr>
              <w:t>0.0080</w:t>
            </w:r>
          </w:p>
        </w:tc>
        <w:tc>
          <w:tcPr>
            <w:tcW w:w="593" w:type="pct"/>
            <w:tcBorders>
              <w:top w:val="nil"/>
              <w:left w:val="nil"/>
              <w:bottom w:val="nil"/>
              <w:right w:val="nil"/>
            </w:tcBorders>
            <w:shd w:val="clear" w:color="auto" w:fill="auto"/>
            <w:noWrap/>
            <w:vAlign w:val="center"/>
            <w:hideMark/>
          </w:tcPr>
          <w:p w:rsidR="00B6514D" w:rsidRPr="00FF1FCB" w:rsidRDefault="00B6514D" w:rsidP="00C53DE9">
            <w:pPr>
              <w:spacing w:line="276" w:lineRule="auto"/>
              <w:jc w:val="center"/>
              <w:rPr>
                <w:rFonts w:eastAsia="Times New Roman"/>
                <w:color w:val="000000"/>
                <w:sz w:val="22"/>
                <w:szCs w:val="22"/>
              </w:rPr>
            </w:pPr>
            <w:r w:rsidRPr="00FF1FCB">
              <w:rPr>
                <w:rFonts w:eastAsia="Times New Roman"/>
                <w:color w:val="000000"/>
                <w:sz w:val="22"/>
                <w:szCs w:val="22"/>
              </w:rPr>
              <w:t>0.0533</w:t>
            </w:r>
          </w:p>
        </w:tc>
        <w:tc>
          <w:tcPr>
            <w:tcW w:w="591" w:type="pct"/>
            <w:tcBorders>
              <w:top w:val="nil"/>
              <w:left w:val="nil"/>
              <w:bottom w:val="nil"/>
              <w:right w:val="nil"/>
            </w:tcBorders>
            <w:shd w:val="clear" w:color="auto" w:fill="auto"/>
            <w:noWrap/>
            <w:vAlign w:val="center"/>
            <w:hideMark/>
          </w:tcPr>
          <w:p w:rsidR="00B6514D" w:rsidRPr="00FF1FCB" w:rsidRDefault="00B6514D" w:rsidP="00C53DE9">
            <w:pPr>
              <w:spacing w:line="276" w:lineRule="auto"/>
              <w:jc w:val="center"/>
              <w:rPr>
                <w:rFonts w:eastAsia="Times New Roman"/>
                <w:color w:val="000000"/>
                <w:sz w:val="22"/>
                <w:szCs w:val="22"/>
              </w:rPr>
            </w:pPr>
            <w:r w:rsidRPr="00FF1FCB">
              <w:rPr>
                <w:rFonts w:eastAsia="Times New Roman"/>
                <w:color w:val="000000"/>
                <w:sz w:val="22"/>
                <w:szCs w:val="22"/>
              </w:rPr>
              <w:t>0.0823</w:t>
            </w:r>
          </w:p>
        </w:tc>
      </w:tr>
      <w:tr w:rsidR="00B6514D" w:rsidRPr="00FF1FCB" w:rsidTr="0093428B">
        <w:trPr>
          <w:trHeight w:val="360"/>
        </w:trPr>
        <w:tc>
          <w:tcPr>
            <w:tcW w:w="1137" w:type="pct"/>
            <w:tcBorders>
              <w:top w:val="nil"/>
              <w:left w:val="nil"/>
              <w:bottom w:val="single" w:sz="4" w:space="0" w:color="auto"/>
              <w:right w:val="nil"/>
            </w:tcBorders>
            <w:shd w:val="clear" w:color="auto" w:fill="auto"/>
            <w:noWrap/>
            <w:vAlign w:val="center"/>
            <w:hideMark/>
          </w:tcPr>
          <w:p w:rsidR="00B6514D" w:rsidRPr="00FF1FCB" w:rsidRDefault="00B6514D" w:rsidP="00B72CAF">
            <w:pPr>
              <w:spacing w:line="276" w:lineRule="auto"/>
              <w:rPr>
                <w:rFonts w:eastAsia="Times New Roman"/>
                <w:color w:val="000000"/>
                <w:sz w:val="22"/>
                <w:szCs w:val="22"/>
              </w:rPr>
            </w:pPr>
            <w:r w:rsidRPr="00FF1FCB">
              <w:rPr>
                <w:rFonts w:eastAsia="Times New Roman"/>
                <w:color w:val="000000"/>
                <w:sz w:val="22"/>
                <w:szCs w:val="22"/>
              </w:rPr>
              <w:t>N</w:t>
            </w:r>
          </w:p>
        </w:tc>
        <w:tc>
          <w:tcPr>
            <w:tcW w:w="899" w:type="pct"/>
            <w:tcBorders>
              <w:top w:val="nil"/>
              <w:left w:val="nil"/>
              <w:bottom w:val="single" w:sz="4" w:space="0" w:color="auto"/>
              <w:right w:val="nil"/>
            </w:tcBorders>
            <w:shd w:val="clear" w:color="auto" w:fill="auto"/>
            <w:noWrap/>
            <w:vAlign w:val="center"/>
            <w:hideMark/>
          </w:tcPr>
          <w:p w:rsidR="00B6514D" w:rsidRPr="00FF1FCB" w:rsidRDefault="00B6514D" w:rsidP="00B72CAF">
            <w:pPr>
              <w:spacing w:line="276" w:lineRule="auto"/>
              <w:jc w:val="center"/>
              <w:rPr>
                <w:rFonts w:eastAsia="Times New Roman"/>
                <w:color w:val="000000"/>
                <w:sz w:val="22"/>
                <w:szCs w:val="22"/>
              </w:rPr>
            </w:pPr>
            <w:r w:rsidRPr="00FF1FCB">
              <w:rPr>
                <w:rFonts w:eastAsia="Times New Roman"/>
                <w:color w:val="000000"/>
                <w:sz w:val="22"/>
                <w:szCs w:val="22"/>
              </w:rPr>
              <w:t>1020</w:t>
            </w:r>
          </w:p>
        </w:tc>
        <w:tc>
          <w:tcPr>
            <w:tcW w:w="593" w:type="pct"/>
            <w:tcBorders>
              <w:top w:val="nil"/>
              <w:left w:val="nil"/>
              <w:bottom w:val="single" w:sz="4" w:space="0" w:color="auto"/>
              <w:right w:val="nil"/>
            </w:tcBorders>
            <w:shd w:val="clear" w:color="auto" w:fill="auto"/>
            <w:noWrap/>
            <w:vAlign w:val="center"/>
            <w:hideMark/>
          </w:tcPr>
          <w:p w:rsidR="00B6514D" w:rsidRPr="00FF1FCB" w:rsidRDefault="00B6514D" w:rsidP="00B72CAF">
            <w:pPr>
              <w:spacing w:line="276" w:lineRule="auto"/>
              <w:jc w:val="center"/>
              <w:rPr>
                <w:rFonts w:eastAsia="Times New Roman"/>
                <w:color w:val="000000"/>
                <w:sz w:val="22"/>
                <w:szCs w:val="22"/>
              </w:rPr>
            </w:pPr>
            <w:r w:rsidRPr="00FF1FCB">
              <w:rPr>
                <w:rFonts w:eastAsia="Times New Roman"/>
                <w:color w:val="000000"/>
                <w:sz w:val="22"/>
                <w:szCs w:val="22"/>
              </w:rPr>
              <w:t>1020</w:t>
            </w:r>
          </w:p>
        </w:tc>
        <w:tc>
          <w:tcPr>
            <w:tcW w:w="593" w:type="pct"/>
            <w:tcBorders>
              <w:top w:val="nil"/>
              <w:left w:val="nil"/>
              <w:bottom w:val="single" w:sz="4" w:space="0" w:color="auto"/>
              <w:right w:val="single" w:sz="4" w:space="0" w:color="auto"/>
            </w:tcBorders>
            <w:shd w:val="clear" w:color="auto" w:fill="auto"/>
            <w:noWrap/>
            <w:vAlign w:val="center"/>
            <w:hideMark/>
          </w:tcPr>
          <w:p w:rsidR="00B6514D" w:rsidRPr="00FF1FCB" w:rsidRDefault="00B6514D" w:rsidP="00B72CAF">
            <w:pPr>
              <w:spacing w:line="276" w:lineRule="auto"/>
              <w:jc w:val="center"/>
              <w:rPr>
                <w:rFonts w:eastAsia="Times New Roman"/>
                <w:color w:val="000000"/>
                <w:sz w:val="22"/>
                <w:szCs w:val="22"/>
              </w:rPr>
            </w:pPr>
            <w:r w:rsidRPr="00FF1FCB">
              <w:rPr>
                <w:rFonts w:eastAsia="Times New Roman"/>
                <w:color w:val="000000"/>
                <w:sz w:val="22"/>
                <w:szCs w:val="22"/>
              </w:rPr>
              <w:t>1020</w:t>
            </w:r>
          </w:p>
        </w:tc>
        <w:tc>
          <w:tcPr>
            <w:tcW w:w="593" w:type="pct"/>
            <w:tcBorders>
              <w:top w:val="nil"/>
              <w:left w:val="nil"/>
              <w:bottom w:val="single" w:sz="4" w:space="0" w:color="auto"/>
              <w:right w:val="nil"/>
            </w:tcBorders>
            <w:shd w:val="clear" w:color="auto" w:fill="auto"/>
            <w:noWrap/>
            <w:vAlign w:val="center"/>
            <w:hideMark/>
          </w:tcPr>
          <w:p w:rsidR="00B6514D" w:rsidRPr="00FF1FCB" w:rsidRDefault="00B6514D" w:rsidP="00C53DE9">
            <w:pPr>
              <w:spacing w:line="276" w:lineRule="auto"/>
              <w:jc w:val="center"/>
              <w:rPr>
                <w:rFonts w:eastAsia="Times New Roman"/>
                <w:color w:val="000000"/>
                <w:sz w:val="22"/>
                <w:szCs w:val="22"/>
              </w:rPr>
            </w:pPr>
            <w:r w:rsidRPr="00FF1FCB">
              <w:rPr>
                <w:rFonts w:eastAsia="Times New Roman"/>
                <w:color w:val="000000"/>
                <w:sz w:val="22"/>
                <w:szCs w:val="22"/>
              </w:rPr>
              <w:t>1020</w:t>
            </w:r>
          </w:p>
        </w:tc>
        <w:tc>
          <w:tcPr>
            <w:tcW w:w="593" w:type="pct"/>
            <w:tcBorders>
              <w:top w:val="nil"/>
              <w:left w:val="nil"/>
              <w:bottom w:val="single" w:sz="4" w:space="0" w:color="auto"/>
              <w:right w:val="nil"/>
            </w:tcBorders>
            <w:shd w:val="clear" w:color="auto" w:fill="auto"/>
            <w:noWrap/>
            <w:vAlign w:val="center"/>
            <w:hideMark/>
          </w:tcPr>
          <w:p w:rsidR="00B6514D" w:rsidRPr="00FF1FCB" w:rsidRDefault="00B6514D" w:rsidP="00C53DE9">
            <w:pPr>
              <w:spacing w:line="276" w:lineRule="auto"/>
              <w:jc w:val="center"/>
              <w:rPr>
                <w:rFonts w:eastAsia="Times New Roman"/>
                <w:color w:val="000000"/>
                <w:sz w:val="22"/>
                <w:szCs w:val="22"/>
              </w:rPr>
            </w:pPr>
            <w:r w:rsidRPr="00FF1FCB">
              <w:rPr>
                <w:rFonts w:eastAsia="Times New Roman"/>
                <w:color w:val="000000"/>
                <w:sz w:val="22"/>
                <w:szCs w:val="22"/>
              </w:rPr>
              <w:t>1020</w:t>
            </w:r>
          </w:p>
        </w:tc>
        <w:tc>
          <w:tcPr>
            <w:tcW w:w="591" w:type="pct"/>
            <w:tcBorders>
              <w:top w:val="nil"/>
              <w:left w:val="nil"/>
              <w:bottom w:val="single" w:sz="4" w:space="0" w:color="auto"/>
              <w:right w:val="nil"/>
            </w:tcBorders>
            <w:shd w:val="clear" w:color="auto" w:fill="auto"/>
            <w:noWrap/>
            <w:vAlign w:val="center"/>
            <w:hideMark/>
          </w:tcPr>
          <w:p w:rsidR="00B6514D" w:rsidRPr="00FF1FCB" w:rsidRDefault="00B6514D" w:rsidP="00C53DE9">
            <w:pPr>
              <w:spacing w:line="276" w:lineRule="auto"/>
              <w:jc w:val="center"/>
              <w:rPr>
                <w:rFonts w:eastAsia="Times New Roman"/>
                <w:color w:val="000000"/>
                <w:sz w:val="22"/>
                <w:szCs w:val="22"/>
              </w:rPr>
            </w:pPr>
            <w:r w:rsidRPr="00FF1FCB">
              <w:rPr>
                <w:rFonts w:eastAsia="Times New Roman"/>
                <w:color w:val="000000"/>
                <w:sz w:val="22"/>
                <w:szCs w:val="22"/>
              </w:rPr>
              <w:t>1020</w:t>
            </w:r>
          </w:p>
        </w:tc>
      </w:tr>
      <w:tr w:rsidR="00B6514D" w:rsidRPr="00FF1FCB" w:rsidTr="0093428B">
        <w:trPr>
          <w:trHeight w:val="360"/>
        </w:trPr>
        <w:tc>
          <w:tcPr>
            <w:tcW w:w="5000" w:type="pct"/>
            <w:gridSpan w:val="7"/>
            <w:tcBorders>
              <w:top w:val="single" w:sz="4" w:space="0" w:color="auto"/>
              <w:left w:val="nil"/>
              <w:bottom w:val="nil"/>
              <w:right w:val="nil"/>
            </w:tcBorders>
            <w:shd w:val="clear" w:color="auto" w:fill="auto"/>
            <w:noWrap/>
            <w:vAlign w:val="center"/>
            <w:hideMark/>
          </w:tcPr>
          <w:p w:rsidR="00B6514D" w:rsidRPr="00FF1FCB" w:rsidRDefault="00B6514D" w:rsidP="00B72CAF">
            <w:pPr>
              <w:spacing w:line="276" w:lineRule="auto"/>
              <w:rPr>
                <w:rFonts w:eastAsia="Times New Roman"/>
                <w:i/>
                <w:iCs/>
                <w:color w:val="000000"/>
                <w:sz w:val="20"/>
                <w:szCs w:val="20"/>
              </w:rPr>
            </w:pPr>
            <w:r w:rsidRPr="00F74E3C">
              <w:rPr>
                <w:rFonts w:eastAsia="Times New Roman"/>
                <w:iCs/>
                <w:color w:val="000000"/>
                <w:sz w:val="20"/>
                <w:szCs w:val="20"/>
              </w:rPr>
              <w:t>Note</w:t>
            </w:r>
            <w:r w:rsidRPr="00FF1FCB">
              <w:rPr>
                <w:rFonts w:eastAsia="Times New Roman"/>
                <w:color w:val="000000"/>
                <w:sz w:val="20"/>
                <w:szCs w:val="20"/>
              </w:rPr>
              <w:t>: * p&lt;0.10, ** p&lt;0.05, *** p&lt;0.01. Full results are presented in the Appendix.</w:t>
            </w:r>
          </w:p>
        </w:tc>
      </w:tr>
    </w:tbl>
    <w:p w:rsidR="000929D7" w:rsidRDefault="000929D7" w:rsidP="00B6514D">
      <w:pPr>
        <w:pStyle w:val="ListParagraph"/>
        <w:spacing w:line="480" w:lineRule="auto"/>
        <w:ind w:left="0"/>
        <w:jc w:val="both"/>
      </w:pPr>
    </w:p>
    <w:p w:rsidR="001F5171" w:rsidRDefault="001F5171" w:rsidP="001F5171">
      <w:pPr>
        <w:pStyle w:val="ListParagraph"/>
        <w:spacing w:line="480" w:lineRule="auto"/>
        <w:ind w:left="0"/>
        <w:jc w:val="both"/>
      </w:pPr>
      <w:r>
        <w:t xml:space="preserve">Lastly, Table </w:t>
      </w:r>
      <w:r w:rsidR="00C80694">
        <w:t>4</w:t>
      </w:r>
      <w:r>
        <w:t xml:space="preserve"> illustrates the effect of displacement on dietary diversity taking into consideration the number of times the household had eaten meat in the week prior. Because we are employing a zero-censored </w:t>
      </w:r>
      <w:proofErr w:type="gramStart"/>
      <w:r>
        <w:t>tobit</w:t>
      </w:r>
      <w:proofErr w:type="gramEnd"/>
      <w:r>
        <w:t xml:space="preserve"> model, we report the marginal effects for both the probability of having eaten meat as well as the number of times if the former is greater than zero. Again, our estimates are robust across all model specifications with a displaced household being less likely to having </w:t>
      </w:r>
      <w:r>
        <w:lastRenderedPageBreak/>
        <w:t>eaten meat and eaten less if so. In particular, in the full model taking into account household-level covariates and location fixed effects as indicated in columns three and six</w:t>
      </w:r>
      <w:r w:rsidRPr="00B6514D">
        <w:t>,</w:t>
      </w:r>
      <w:r>
        <w:t xml:space="preserve"> a </w:t>
      </w:r>
      <w:r w:rsidRPr="00B6514D">
        <w:t xml:space="preserve">displaced </w:t>
      </w:r>
      <w:r>
        <w:t>household is on the margin 17 percent less likely to have eaten meat in the week prior to the survey. And for those displaced households that had eaten meat, they ate 30 percent less in comparison to their non-mover counterparts.</w:t>
      </w:r>
    </w:p>
    <w:p w:rsidR="001F5171" w:rsidRDefault="001F5171" w:rsidP="00B6514D">
      <w:pPr>
        <w:pStyle w:val="ListParagraph"/>
        <w:spacing w:line="480" w:lineRule="auto"/>
        <w:ind w:left="0"/>
        <w:jc w:val="both"/>
      </w:pPr>
    </w:p>
    <w:tbl>
      <w:tblPr>
        <w:tblW w:w="5000" w:type="pct"/>
        <w:tblLayout w:type="fixed"/>
        <w:tblLook w:val="04A0" w:firstRow="1" w:lastRow="0" w:firstColumn="1" w:lastColumn="0" w:noHBand="0" w:noVBand="1"/>
      </w:tblPr>
      <w:tblGrid>
        <w:gridCol w:w="2087"/>
        <w:gridCol w:w="1248"/>
        <w:gridCol w:w="1249"/>
        <w:gridCol w:w="1249"/>
        <w:gridCol w:w="1249"/>
        <w:gridCol w:w="1249"/>
        <w:gridCol w:w="1245"/>
      </w:tblGrid>
      <w:tr w:rsidR="0069699E" w:rsidRPr="0069699E" w:rsidTr="0093428B">
        <w:trPr>
          <w:trHeight w:val="360"/>
        </w:trPr>
        <w:tc>
          <w:tcPr>
            <w:tcW w:w="5000" w:type="pct"/>
            <w:gridSpan w:val="7"/>
            <w:tcBorders>
              <w:top w:val="nil"/>
              <w:left w:val="nil"/>
              <w:bottom w:val="double" w:sz="4" w:space="0" w:color="auto"/>
              <w:right w:val="nil"/>
            </w:tcBorders>
            <w:shd w:val="clear" w:color="auto" w:fill="auto"/>
            <w:noWrap/>
            <w:vAlign w:val="center"/>
            <w:hideMark/>
          </w:tcPr>
          <w:p w:rsidR="0069699E" w:rsidRPr="0069699E" w:rsidRDefault="00C80694" w:rsidP="0069699E">
            <w:pPr>
              <w:spacing w:line="240" w:lineRule="auto"/>
              <w:rPr>
                <w:rFonts w:eastAsia="Times New Roman"/>
                <w:bCs/>
                <w:color w:val="000000"/>
              </w:rPr>
            </w:pPr>
            <w:r>
              <w:rPr>
                <w:rFonts w:eastAsia="Times New Roman"/>
                <w:bCs/>
                <w:color w:val="000000"/>
              </w:rPr>
              <w:t>Table 4</w:t>
            </w:r>
            <w:r w:rsidR="0069699E" w:rsidRPr="0069699E">
              <w:rPr>
                <w:rFonts w:eastAsia="Times New Roman"/>
                <w:bCs/>
                <w:color w:val="000000"/>
              </w:rPr>
              <w:t>: Dietary Diversity</w:t>
            </w:r>
          </w:p>
        </w:tc>
      </w:tr>
      <w:tr w:rsidR="0069699E" w:rsidRPr="00B6514D" w:rsidTr="0093428B">
        <w:trPr>
          <w:trHeight w:val="360"/>
        </w:trPr>
        <w:tc>
          <w:tcPr>
            <w:tcW w:w="1090" w:type="pct"/>
            <w:tcBorders>
              <w:top w:val="double" w:sz="4" w:space="0" w:color="auto"/>
              <w:left w:val="nil"/>
              <w:bottom w:val="single" w:sz="4" w:space="0" w:color="auto"/>
              <w:right w:val="nil"/>
            </w:tcBorders>
            <w:shd w:val="clear" w:color="auto" w:fill="auto"/>
            <w:noWrap/>
            <w:vAlign w:val="center"/>
            <w:hideMark/>
          </w:tcPr>
          <w:p w:rsidR="0069699E" w:rsidRPr="0069699E" w:rsidRDefault="0069699E" w:rsidP="0069699E">
            <w:pPr>
              <w:spacing w:line="240" w:lineRule="auto"/>
              <w:rPr>
                <w:rFonts w:eastAsia="Times New Roman"/>
                <w:b/>
                <w:bCs/>
                <w:color w:val="000000"/>
              </w:rPr>
            </w:pPr>
          </w:p>
        </w:tc>
        <w:tc>
          <w:tcPr>
            <w:tcW w:w="1955" w:type="pct"/>
            <w:gridSpan w:val="3"/>
            <w:tcBorders>
              <w:top w:val="double" w:sz="4" w:space="0" w:color="auto"/>
              <w:left w:val="nil"/>
              <w:bottom w:val="single" w:sz="4" w:space="0" w:color="auto"/>
              <w:right w:val="single" w:sz="4" w:space="0" w:color="auto"/>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2"/>
                <w:szCs w:val="22"/>
              </w:rPr>
            </w:pPr>
            <w:r w:rsidRPr="0069699E">
              <w:rPr>
                <w:rFonts w:eastAsia="Times New Roman"/>
                <w:color w:val="000000"/>
                <w:sz w:val="22"/>
                <w:szCs w:val="22"/>
              </w:rPr>
              <w:t>Probability of Eating Meat</w:t>
            </w:r>
          </w:p>
        </w:tc>
        <w:tc>
          <w:tcPr>
            <w:tcW w:w="1955" w:type="pct"/>
            <w:gridSpan w:val="3"/>
            <w:tcBorders>
              <w:top w:val="double" w:sz="4" w:space="0" w:color="auto"/>
              <w:left w:val="nil"/>
              <w:bottom w:val="single" w:sz="4" w:space="0" w:color="auto"/>
              <w:right w:val="nil"/>
            </w:tcBorders>
            <w:shd w:val="clear" w:color="auto" w:fill="auto"/>
            <w:noWrap/>
            <w:vAlign w:val="center"/>
            <w:hideMark/>
          </w:tcPr>
          <w:p w:rsidR="0069699E" w:rsidRPr="0069699E" w:rsidRDefault="0069699E" w:rsidP="00C437E1">
            <w:pPr>
              <w:spacing w:line="240" w:lineRule="auto"/>
              <w:jc w:val="center"/>
              <w:rPr>
                <w:rFonts w:eastAsia="Times New Roman"/>
                <w:color w:val="000000"/>
                <w:sz w:val="22"/>
                <w:szCs w:val="22"/>
              </w:rPr>
            </w:pPr>
            <w:r w:rsidRPr="0069699E">
              <w:rPr>
                <w:rFonts w:eastAsia="Times New Roman"/>
                <w:color w:val="000000"/>
                <w:sz w:val="22"/>
                <w:szCs w:val="22"/>
              </w:rPr>
              <w:t xml:space="preserve">Number of Times </w:t>
            </w:r>
            <w:r w:rsidR="00C437E1">
              <w:rPr>
                <w:rFonts w:eastAsia="Times New Roman"/>
                <w:color w:val="000000"/>
                <w:sz w:val="22"/>
                <w:szCs w:val="22"/>
              </w:rPr>
              <w:t>Eating</w:t>
            </w:r>
            <w:r w:rsidRPr="0069699E">
              <w:rPr>
                <w:rFonts w:eastAsia="Times New Roman"/>
                <w:color w:val="000000"/>
                <w:sz w:val="22"/>
                <w:szCs w:val="22"/>
              </w:rPr>
              <w:t xml:space="preserve"> Meat (if &gt; 0)</w:t>
            </w:r>
          </w:p>
        </w:tc>
      </w:tr>
      <w:tr w:rsidR="0069699E" w:rsidRPr="0069699E" w:rsidTr="0093428B">
        <w:trPr>
          <w:trHeight w:val="360"/>
        </w:trPr>
        <w:tc>
          <w:tcPr>
            <w:tcW w:w="1090" w:type="pct"/>
            <w:tcBorders>
              <w:top w:val="single" w:sz="4" w:space="0" w:color="auto"/>
              <w:left w:val="nil"/>
              <w:bottom w:val="nil"/>
              <w:right w:val="nil"/>
            </w:tcBorders>
            <w:shd w:val="clear" w:color="auto" w:fill="auto"/>
            <w:noWrap/>
            <w:vAlign w:val="center"/>
            <w:hideMark/>
          </w:tcPr>
          <w:p w:rsidR="0069699E" w:rsidRPr="0069699E" w:rsidRDefault="0069699E" w:rsidP="0069699E">
            <w:pPr>
              <w:spacing w:line="240" w:lineRule="auto"/>
              <w:rPr>
                <w:rFonts w:eastAsia="Times New Roman"/>
                <w:color w:val="000000"/>
                <w:sz w:val="22"/>
                <w:szCs w:val="22"/>
              </w:rPr>
            </w:pPr>
            <w:r w:rsidRPr="0069699E">
              <w:rPr>
                <w:rFonts w:eastAsia="Times New Roman"/>
                <w:color w:val="000000"/>
                <w:sz w:val="22"/>
                <w:szCs w:val="22"/>
              </w:rPr>
              <w:t>Internally Displaced</w:t>
            </w:r>
          </w:p>
        </w:tc>
        <w:tc>
          <w:tcPr>
            <w:tcW w:w="652" w:type="pct"/>
            <w:tcBorders>
              <w:top w:val="single" w:sz="4" w:space="0" w:color="auto"/>
              <w:left w:val="nil"/>
              <w:bottom w:val="nil"/>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2"/>
                <w:szCs w:val="22"/>
              </w:rPr>
            </w:pPr>
            <w:r w:rsidRPr="0069699E">
              <w:rPr>
                <w:rFonts w:eastAsia="Times New Roman"/>
                <w:color w:val="000000"/>
                <w:sz w:val="22"/>
                <w:szCs w:val="22"/>
              </w:rPr>
              <w:t>-0.1186***</w:t>
            </w:r>
          </w:p>
        </w:tc>
        <w:tc>
          <w:tcPr>
            <w:tcW w:w="652" w:type="pct"/>
            <w:tcBorders>
              <w:top w:val="single" w:sz="4" w:space="0" w:color="auto"/>
              <w:left w:val="nil"/>
              <w:bottom w:val="nil"/>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2"/>
                <w:szCs w:val="22"/>
              </w:rPr>
            </w:pPr>
            <w:r w:rsidRPr="0069699E">
              <w:rPr>
                <w:rFonts w:eastAsia="Times New Roman"/>
                <w:color w:val="000000"/>
                <w:sz w:val="22"/>
                <w:szCs w:val="22"/>
              </w:rPr>
              <w:t>-0.1161***</w:t>
            </w:r>
          </w:p>
        </w:tc>
        <w:tc>
          <w:tcPr>
            <w:tcW w:w="652" w:type="pct"/>
            <w:tcBorders>
              <w:top w:val="single" w:sz="4" w:space="0" w:color="auto"/>
              <w:left w:val="nil"/>
              <w:bottom w:val="nil"/>
              <w:right w:val="single" w:sz="4" w:space="0" w:color="auto"/>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2"/>
                <w:szCs w:val="22"/>
              </w:rPr>
            </w:pPr>
            <w:r w:rsidRPr="0069699E">
              <w:rPr>
                <w:rFonts w:eastAsia="Times New Roman"/>
                <w:color w:val="000000"/>
                <w:sz w:val="22"/>
                <w:szCs w:val="22"/>
              </w:rPr>
              <w:t>-0.1700***</w:t>
            </w:r>
          </w:p>
        </w:tc>
        <w:tc>
          <w:tcPr>
            <w:tcW w:w="652" w:type="pct"/>
            <w:tcBorders>
              <w:top w:val="single" w:sz="4" w:space="0" w:color="auto"/>
              <w:left w:val="nil"/>
              <w:bottom w:val="nil"/>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2"/>
                <w:szCs w:val="22"/>
              </w:rPr>
            </w:pPr>
            <w:r w:rsidRPr="0069699E">
              <w:rPr>
                <w:rFonts w:eastAsia="Times New Roman"/>
                <w:color w:val="000000"/>
                <w:sz w:val="22"/>
                <w:szCs w:val="22"/>
              </w:rPr>
              <w:t>-0.2419***</w:t>
            </w:r>
          </w:p>
        </w:tc>
        <w:tc>
          <w:tcPr>
            <w:tcW w:w="652" w:type="pct"/>
            <w:tcBorders>
              <w:top w:val="single" w:sz="4" w:space="0" w:color="auto"/>
              <w:left w:val="nil"/>
              <w:bottom w:val="nil"/>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2"/>
                <w:szCs w:val="22"/>
              </w:rPr>
            </w:pPr>
            <w:r w:rsidRPr="0069699E">
              <w:rPr>
                <w:rFonts w:eastAsia="Times New Roman"/>
                <w:color w:val="000000"/>
                <w:sz w:val="22"/>
                <w:szCs w:val="22"/>
              </w:rPr>
              <w:t>-0.2189***</w:t>
            </w:r>
          </w:p>
        </w:tc>
        <w:tc>
          <w:tcPr>
            <w:tcW w:w="652" w:type="pct"/>
            <w:tcBorders>
              <w:top w:val="single" w:sz="4" w:space="0" w:color="auto"/>
              <w:left w:val="nil"/>
              <w:bottom w:val="nil"/>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2"/>
                <w:szCs w:val="22"/>
              </w:rPr>
            </w:pPr>
            <w:r w:rsidRPr="0069699E">
              <w:rPr>
                <w:rFonts w:eastAsia="Times New Roman"/>
                <w:color w:val="000000"/>
                <w:sz w:val="22"/>
                <w:szCs w:val="22"/>
              </w:rPr>
              <w:t>-0.2986***</w:t>
            </w:r>
          </w:p>
        </w:tc>
      </w:tr>
      <w:tr w:rsidR="0069699E" w:rsidRPr="0069699E" w:rsidTr="0093428B">
        <w:trPr>
          <w:trHeight w:val="360"/>
        </w:trPr>
        <w:tc>
          <w:tcPr>
            <w:tcW w:w="1090" w:type="pct"/>
            <w:tcBorders>
              <w:top w:val="nil"/>
              <w:left w:val="nil"/>
              <w:bottom w:val="nil"/>
              <w:right w:val="nil"/>
            </w:tcBorders>
            <w:shd w:val="clear" w:color="auto" w:fill="auto"/>
            <w:noWrap/>
            <w:vAlign w:val="center"/>
            <w:hideMark/>
          </w:tcPr>
          <w:p w:rsidR="0069699E" w:rsidRPr="0069699E" w:rsidRDefault="0069699E" w:rsidP="0069699E">
            <w:pPr>
              <w:spacing w:line="240" w:lineRule="auto"/>
              <w:rPr>
                <w:rFonts w:eastAsia="Times New Roman"/>
                <w:color w:val="000000"/>
                <w:sz w:val="22"/>
                <w:szCs w:val="22"/>
              </w:rPr>
            </w:pPr>
          </w:p>
        </w:tc>
        <w:tc>
          <w:tcPr>
            <w:tcW w:w="652" w:type="pct"/>
            <w:tcBorders>
              <w:top w:val="nil"/>
              <w:left w:val="nil"/>
              <w:bottom w:val="nil"/>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2"/>
                <w:szCs w:val="22"/>
              </w:rPr>
            </w:pPr>
            <w:r w:rsidRPr="0069699E">
              <w:rPr>
                <w:rFonts w:eastAsia="Times New Roman"/>
                <w:color w:val="000000"/>
                <w:sz w:val="22"/>
                <w:szCs w:val="22"/>
              </w:rPr>
              <w:t>(0.0270)</w:t>
            </w:r>
          </w:p>
        </w:tc>
        <w:tc>
          <w:tcPr>
            <w:tcW w:w="652" w:type="pct"/>
            <w:tcBorders>
              <w:top w:val="nil"/>
              <w:left w:val="nil"/>
              <w:bottom w:val="nil"/>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2"/>
                <w:szCs w:val="22"/>
              </w:rPr>
            </w:pPr>
            <w:r w:rsidRPr="0069699E">
              <w:rPr>
                <w:rFonts w:eastAsia="Times New Roman"/>
                <w:color w:val="000000"/>
                <w:sz w:val="22"/>
                <w:szCs w:val="22"/>
              </w:rPr>
              <w:t>(0.0286)</w:t>
            </w:r>
          </w:p>
        </w:tc>
        <w:tc>
          <w:tcPr>
            <w:tcW w:w="652" w:type="pct"/>
            <w:tcBorders>
              <w:top w:val="nil"/>
              <w:left w:val="nil"/>
              <w:bottom w:val="nil"/>
              <w:right w:val="single" w:sz="4" w:space="0" w:color="auto"/>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2"/>
                <w:szCs w:val="22"/>
              </w:rPr>
            </w:pPr>
            <w:r w:rsidRPr="0069699E">
              <w:rPr>
                <w:rFonts w:eastAsia="Times New Roman"/>
                <w:color w:val="000000"/>
                <w:sz w:val="22"/>
                <w:szCs w:val="22"/>
              </w:rPr>
              <w:t>(0.0331)</w:t>
            </w:r>
          </w:p>
        </w:tc>
        <w:tc>
          <w:tcPr>
            <w:tcW w:w="652" w:type="pct"/>
            <w:tcBorders>
              <w:top w:val="nil"/>
              <w:left w:val="nil"/>
              <w:bottom w:val="nil"/>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2"/>
                <w:szCs w:val="22"/>
              </w:rPr>
            </w:pPr>
            <w:r w:rsidRPr="0069699E">
              <w:rPr>
                <w:rFonts w:eastAsia="Times New Roman"/>
                <w:color w:val="000000"/>
                <w:sz w:val="22"/>
                <w:szCs w:val="22"/>
              </w:rPr>
              <w:t>(0.0558)</w:t>
            </w:r>
          </w:p>
        </w:tc>
        <w:tc>
          <w:tcPr>
            <w:tcW w:w="652" w:type="pct"/>
            <w:tcBorders>
              <w:top w:val="nil"/>
              <w:left w:val="nil"/>
              <w:bottom w:val="nil"/>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2"/>
                <w:szCs w:val="22"/>
              </w:rPr>
            </w:pPr>
            <w:r w:rsidRPr="0069699E">
              <w:rPr>
                <w:rFonts w:eastAsia="Times New Roman"/>
                <w:color w:val="000000"/>
                <w:sz w:val="22"/>
                <w:szCs w:val="22"/>
              </w:rPr>
              <w:t>(0.0556)</w:t>
            </w:r>
          </w:p>
        </w:tc>
        <w:tc>
          <w:tcPr>
            <w:tcW w:w="652" w:type="pct"/>
            <w:tcBorders>
              <w:top w:val="nil"/>
              <w:left w:val="nil"/>
              <w:bottom w:val="nil"/>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2"/>
                <w:szCs w:val="22"/>
              </w:rPr>
            </w:pPr>
            <w:r w:rsidRPr="0069699E">
              <w:rPr>
                <w:rFonts w:eastAsia="Times New Roman"/>
                <w:color w:val="000000"/>
                <w:sz w:val="22"/>
                <w:szCs w:val="22"/>
              </w:rPr>
              <w:t>(0.0599)</w:t>
            </w:r>
          </w:p>
        </w:tc>
      </w:tr>
      <w:tr w:rsidR="0069699E" w:rsidRPr="0069699E" w:rsidTr="0093428B">
        <w:trPr>
          <w:trHeight w:val="360"/>
        </w:trPr>
        <w:tc>
          <w:tcPr>
            <w:tcW w:w="1090" w:type="pct"/>
            <w:tcBorders>
              <w:top w:val="nil"/>
              <w:left w:val="nil"/>
              <w:bottom w:val="nil"/>
              <w:right w:val="nil"/>
            </w:tcBorders>
            <w:shd w:val="clear" w:color="auto" w:fill="auto"/>
            <w:noWrap/>
            <w:vAlign w:val="center"/>
            <w:hideMark/>
          </w:tcPr>
          <w:p w:rsidR="0069699E" w:rsidRPr="0069699E" w:rsidRDefault="0093428B" w:rsidP="0069699E">
            <w:pPr>
              <w:spacing w:line="240" w:lineRule="auto"/>
              <w:rPr>
                <w:rFonts w:eastAsia="Times New Roman"/>
                <w:color w:val="000000"/>
                <w:sz w:val="22"/>
                <w:szCs w:val="22"/>
              </w:rPr>
            </w:pPr>
            <w:r>
              <w:rPr>
                <w:rFonts w:eastAsia="Times New Roman"/>
                <w:color w:val="000000"/>
                <w:sz w:val="22"/>
                <w:szCs w:val="22"/>
              </w:rPr>
              <w:t>HH</w:t>
            </w:r>
            <w:r w:rsidR="0069699E" w:rsidRPr="0069699E">
              <w:rPr>
                <w:rFonts w:eastAsia="Times New Roman"/>
                <w:color w:val="000000"/>
                <w:sz w:val="22"/>
                <w:szCs w:val="22"/>
              </w:rPr>
              <w:t>-level Covariates</w:t>
            </w:r>
          </w:p>
        </w:tc>
        <w:tc>
          <w:tcPr>
            <w:tcW w:w="652" w:type="pct"/>
            <w:tcBorders>
              <w:top w:val="nil"/>
              <w:left w:val="nil"/>
              <w:bottom w:val="nil"/>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0"/>
                <w:szCs w:val="20"/>
              </w:rPr>
            </w:pPr>
            <w:r w:rsidRPr="0069699E">
              <w:rPr>
                <w:rFonts w:eastAsia="Times New Roman"/>
                <w:color w:val="000000"/>
                <w:sz w:val="20"/>
                <w:szCs w:val="20"/>
              </w:rPr>
              <w:t>No</w:t>
            </w:r>
          </w:p>
        </w:tc>
        <w:tc>
          <w:tcPr>
            <w:tcW w:w="652" w:type="pct"/>
            <w:tcBorders>
              <w:top w:val="nil"/>
              <w:left w:val="nil"/>
              <w:bottom w:val="nil"/>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0"/>
                <w:szCs w:val="20"/>
              </w:rPr>
            </w:pPr>
            <w:r w:rsidRPr="0069699E">
              <w:rPr>
                <w:rFonts w:eastAsia="Times New Roman"/>
                <w:color w:val="000000"/>
                <w:sz w:val="20"/>
                <w:szCs w:val="20"/>
              </w:rPr>
              <w:t>Yes</w:t>
            </w:r>
          </w:p>
        </w:tc>
        <w:tc>
          <w:tcPr>
            <w:tcW w:w="652" w:type="pct"/>
            <w:tcBorders>
              <w:top w:val="nil"/>
              <w:left w:val="nil"/>
              <w:bottom w:val="nil"/>
              <w:right w:val="single" w:sz="4" w:space="0" w:color="auto"/>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0"/>
                <w:szCs w:val="20"/>
              </w:rPr>
            </w:pPr>
            <w:r w:rsidRPr="0069699E">
              <w:rPr>
                <w:rFonts w:eastAsia="Times New Roman"/>
                <w:color w:val="000000"/>
                <w:sz w:val="20"/>
                <w:szCs w:val="20"/>
              </w:rPr>
              <w:t>Yes</w:t>
            </w:r>
          </w:p>
        </w:tc>
        <w:tc>
          <w:tcPr>
            <w:tcW w:w="652" w:type="pct"/>
            <w:tcBorders>
              <w:top w:val="nil"/>
              <w:left w:val="nil"/>
              <w:bottom w:val="nil"/>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0"/>
                <w:szCs w:val="20"/>
              </w:rPr>
            </w:pPr>
            <w:r w:rsidRPr="0069699E">
              <w:rPr>
                <w:rFonts w:eastAsia="Times New Roman"/>
                <w:color w:val="000000"/>
                <w:sz w:val="20"/>
                <w:szCs w:val="20"/>
              </w:rPr>
              <w:t>No</w:t>
            </w:r>
          </w:p>
        </w:tc>
        <w:tc>
          <w:tcPr>
            <w:tcW w:w="652" w:type="pct"/>
            <w:tcBorders>
              <w:top w:val="nil"/>
              <w:left w:val="nil"/>
              <w:bottom w:val="nil"/>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0"/>
                <w:szCs w:val="20"/>
              </w:rPr>
            </w:pPr>
            <w:r w:rsidRPr="0069699E">
              <w:rPr>
                <w:rFonts w:eastAsia="Times New Roman"/>
                <w:color w:val="000000"/>
                <w:sz w:val="20"/>
                <w:szCs w:val="20"/>
              </w:rPr>
              <w:t>Yes</w:t>
            </w:r>
          </w:p>
        </w:tc>
        <w:tc>
          <w:tcPr>
            <w:tcW w:w="652" w:type="pct"/>
            <w:tcBorders>
              <w:top w:val="nil"/>
              <w:left w:val="nil"/>
              <w:bottom w:val="nil"/>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0"/>
                <w:szCs w:val="20"/>
              </w:rPr>
            </w:pPr>
            <w:r w:rsidRPr="0069699E">
              <w:rPr>
                <w:rFonts w:eastAsia="Times New Roman"/>
                <w:color w:val="000000"/>
                <w:sz w:val="20"/>
                <w:szCs w:val="20"/>
              </w:rPr>
              <w:t>Yes</w:t>
            </w:r>
          </w:p>
        </w:tc>
      </w:tr>
      <w:tr w:rsidR="0069699E" w:rsidRPr="0069699E" w:rsidTr="0093428B">
        <w:trPr>
          <w:trHeight w:val="360"/>
        </w:trPr>
        <w:tc>
          <w:tcPr>
            <w:tcW w:w="1090" w:type="pct"/>
            <w:tcBorders>
              <w:top w:val="nil"/>
              <w:left w:val="nil"/>
              <w:bottom w:val="single" w:sz="4" w:space="0" w:color="auto"/>
              <w:right w:val="nil"/>
            </w:tcBorders>
            <w:shd w:val="clear" w:color="auto" w:fill="auto"/>
            <w:noWrap/>
            <w:vAlign w:val="center"/>
            <w:hideMark/>
          </w:tcPr>
          <w:p w:rsidR="0069699E" w:rsidRPr="0069699E" w:rsidRDefault="0069699E" w:rsidP="0093428B">
            <w:pPr>
              <w:spacing w:line="240" w:lineRule="auto"/>
              <w:rPr>
                <w:rFonts w:eastAsia="Times New Roman"/>
                <w:color w:val="000000"/>
                <w:sz w:val="22"/>
                <w:szCs w:val="22"/>
              </w:rPr>
            </w:pPr>
            <w:r w:rsidRPr="0069699E">
              <w:rPr>
                <w:rFonts w:eastAsia="Times New Roman"/>
                <w:color w:val="000000"/>
                <w:sz w:val="22"/>
                <w:szCs w:val="22"/>
              </w:rPr>
              <w:t>Location</w:t>
            </w:r>
            <w:r w:rsidR="0093428B">
              <w:rPr>
                <w:rFonts w:eastAsia="Times New Roman"/>
                <w:color w:val="000000"/>
                <w:sz w:val="22"/>
                <w:szCs w:val="22"/>
              </w:rPr>
              <w:t>-based</w:t>
            </w:r>
            <w:r w:rsidRPr="0069699E">
              <w:rPr>
                <w:rFonts w:eastAsia="Times New Roman"/>
                <w:color w:val="000000"/>
                <w:sz w:val="22"/>
                <w:szCs w:val="22"/>
              </w:rPr>
              <w:t xml:space="preserve"> </w:t>
            </w:r>
            <w:r w:rsidR="0093428B">
              <w:rPr>
                <w:rFonts w:eastAsia="Times New Roman"/>
                <w:color w:val="000000"/>
                <w:sz w:val="22"/>
                <w:szCs w:val="22"/>
              </w:rPr>
              <w:t>FE</w:t>
            </w:r>
          </w:p>
        </w:tc>
        <w:tc>
          <w:tcPr>
            <w:tcW w:w="652" w:type="pct"/>
            <w:tcBorders>
              <w:top w:val="nil"/>
              <w:left w:val="nil"/>
              <w:bottom w:val="single" w:sz="4" w:space="0" w:color="auto"/>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0"/>
                <w:szCs w:val="20"/>
              </w:rPr>
            </w:pPr>
            <w:r w:rsidRPr="0069699E">
              <w:rPr>
                <w:rFonts w:eastAsia="Times New Roman"/>
                <w:color w:val="000000"/>
                <w:sz w:val="20"/>
                <w:szCs w:val="20"/>
              </w:rPr>
              <w:t>No</w:t>
            </w:r>
          </w:p>
        </w:tc>
        <w:tc>
          <w:tcPr>
            <w:tcW w:w="652" w:type="pct"/>
            <w:tcBorders>
              <w:top w:val="nil"/>
              <w:left w:val="nil"/>
              <w:bottom w:val="single" w:sz="4" w:space="0" w:color="auto"/>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0"/>
                <w:szCs w:val="20"/>
              </w:rPr>
            </w:pPr>
            <w:r w:rsidRPr="0069699E">
              <w:rPr>
                <w:rFonts w:eastAsia="Times New Roman"/>
                <w:color w:val="000000"/>
                <w:sz w:val="20"/>
                <w:szCs w:val="20"/>
              </w:rPr>
              <w:t>No</w:t>
            </w:r>
          </w:p>
        </w:tc>
        <w:tc>
          <w:tcPr>
            <w:tcW w:w="652" w:type="pct"/>
            <w:tcBorders>
              <w:top w:val="nil"/>
              <w:left w:val="nil"/>
              <w:bottom w:val="single" w:sz="4" w:space="0" w:color="auto"/>
              <w:right w:val="single" w:sz="4" w:space="0" w:color="auto"/>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0"/>
                <w:szCs w:val="20"/>
              </w:rPr>
            </w:pPr>
            <w:r w:rsidRPr="0069699E">
              <w:rPr>
                <w:rFonts w:eastAsia="Times New Roman"/>
                <w:color w:val="000000"/>
                <w:sz w:val="20"/>
                <w:szCs w:val="20"/>
              </w:rPr>
              <w:t>Yes</w:t>
            </w:r>
          </w:p>
        </w:tc>
        <w:tc>
          <w:tcPr>
            <w:tcW w:w="652" w:type="pct"/>
            <w:tcBorders>
              <w:top w:val="nil"/>
              <w:left w:val="nil"/>
              <w:bottom w:val="single" w:sz="4" w:space="0" w:color="auto"/>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0"/>
                <w:szCs w:val="20"/>
              </w:rPr>
            </w:pPr>
            <w:r w:rsidRPr="0069699E">
              <w:rPr>
                <w:rFonts w:eastAsia="Times New Roman"/>
                <w:color w:val="000000"/>
                <w:sz w:val="20"/>
                <w:szCs w:val="20"/>
              </w:rPr>
              <w:t>No</w:t>
            </w:r>
          </w:p>
        </w:tc>
        <w:tc>
          <w:tcPr>
            <w:tcW w:w="652" w:type="pct"/>
            <w:tcBorders>
              <w:top w:val="nil"/>
              <w:left w:val="nil"/>
              <w:bottom w:val="single" w:sz="4" w:space="0" w:color="auto"/>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0"/>
                <w:szCs w:val="20"/>
              </w:rPr>
            </w:pPr>
            <w:r w:rsidRPr="0069699E">
              <w:rPr>
                <w:rFonts w:eastAsia="Times New Roman"/>
                <w:color w:val="000000"/>
                <w:sz w:val="20"/>
                <w:szCs w:val="20"/>
              </w:rPr>
              <w:t>No</w:t>
            </w:r>
          </w:p>
        </w:tc>
        <w:tc>
          <w:tcPr>
            <w:tcW w:w="652" w:type="pct"/>
            <w:tcBorders>
              <w:top w:val="nil"/>
              <w:left w:val="nil"/>
              <w:bottom w:val="single" w:sz="4" w:space="0" w:color="auto"/>
              <w:right w:val="nil"/>
            </w:tcBorders>
            <w:shd w:val="clear" w:color="auto" w:fill="auto"/>
            <w:noWrap/>
            <w:vAlign w:val="center"/>
            <w:hideMark/>
          </w:tcPr>
          <w:p w:rsidR="0069699E" w:rsidRPr="0069699E" w:rsidRDefault="0069699E" w:rsidP="0069699E">
            <w:pPr>
              <w:spacing w:line="240" w:lineRule="auto"/>
              <w:jc w:val="center"/>
              <w:rPr>
                <w:rFonts w:eastAsia="Times New Roman"/>
                <w:color w:val="000000"/>
                <w:sz w:val="20"/>
                <w:szCs w:val="20"/>
              </w:rPr>
            </w:pPr>
            <w:r w:rsidRPr="0069699E">
              <w:rPr>
                <w:rFonts w:eastAsia="Times New Roman"/>
                <w:color w:val="000000"/>
                <w:sz w:val="20"/>
                <w:szCs w:val="20"/>
              </w:rPr>
              <w:t>Yes</w:t>
            </w:r>
          </w:p>
        </w:tc>
      </w:tr>
      <w:tr w:rsidR="00B6514D" w:rsidRPr="0069699E" w:rsidTr="0093428B">
        <w:trPr>
          <w:trHeight w:val="360"/>
        </w:trPr>
        <w:tc>
          <w:tcPr>
            <w:tcW w:w="1090" w:type="pct"/>
            <w:tcBorders>
              <w:top w:val="nil"/>
              <w:left w:val="nil"/>
              <w:bottom w:val="nil"/>
              <w:right w:val="nil"/>
            </w:tcBorders>
            <w:shd w:val="clear" w:color="auto" w:fill="auto"/>
            <w:noWrap/>
            <w:vAlign w:val="center"/>
            <w:hideMark/>
          </w:tcPr>
          <w:p w:rsidR="00B6514D" w:rsidRPr="0069699E" w:rsidRDefault="00B6514D" w:rsidP="0069699E">
            <w:pPr>
              <w:spacing w:line="240" w:lineRule="auto"/>
              <w:rPr>
                <w:rFonts w:eastAsia="Times New Roman"/>
                <w:color w:val="000000"/>
                <w:sz w:val="22"/>
                <w:szCs w:val="22"/>
              </w:rPr>
            </w:pPr>
            <w:r w:rsidRPr="0069699E">
              <w:rPr>
                <w:rFonts w:eastAsia="Times New Roman"/>
                <w:color w:val="000000"/>
                <w:sz w:val="22"/>
                <w:szCs w:val="22"/>
              </w:rPr>
              <w:t>Adj. R-Squared</w:t>
            </w:r>
          </w:p>
        </w:tc>
        <w:tc>
          <w:tcPr>
            <w:tcW w:w="652" w:type="pct"/>
            <w:tcBorders>
              <w:top w:val="nil"/>
              <w:left w:val="nil"/>
              <w:bottom w:val="nil"/>
              <w:right w:val="nil"/>
            </w:tcBorders>
            <w:shd w:val="clear" w:color="auto" w:fill="auto"/>
            <w:noWrap/>
            <w:vAlign w:val="center"/>
            <w:hideMark/>
          </w:tcPr>
          <w:p w:rsidR="00B6514D" w:rsidRPr="0069699E" w:rsidRDefault="00B6514D" w:rsidP="0069699E">
            <w:pPr>
              <w:spacing w:line="240" w:lineRule="auto"/>
              <w:jc w:val="center"/>
              <w:rPr>
                <w:rFonts w:eastAsia="Times New Roman"/>
                <w:color w:val="000000"/>
                <w:sz w:val="22"/>
                <w:szCs w:val="22"/>
              </w:rPr>
            </w:pPr>
            <w:r w:rsidRPr="0069699E">
              <w:rPr>
                <w:rFonts w:eastAsia="Times New Roman"/>
                <w:color w:val="000000"/>
                <w:sz w:val="22"/>
                <w:szCs w:val="22"/>
              </w:rPr>
              <w:t>0.0058</w:t>
            </w:r>
          </w:p>
        </w:tc>
        <w:tc>
          <w:tcPr>
            <w:tcW w:w="652" w:type="pct"/>
            <w:tcBorders>
              <w:top w:val="nil"/>
              <w:left w:val="nil"/>
              <w:bottom w:val="nil"/>
              <w:right w:val="nil"/>
            </w:tcBorders>
            <w:shd w:val="clear" w:color="auto" w:fill="auto"/>
            <w:noWrap/>
            <w:vAlign w:val="center"/>
            <w:hideMark/>
          </w:tcPr>
          <w:p w:rsidR="00B6514D" w:rsidRPr="0069699E" w:rsidRDefault="00B6514D" w:rsidP="0069699E">
            <w:pPr>
              <w:spacing w:line="240" w:lineRule="auto"/>
              <w:jc w:val="center"/>
              <w:rPr>
                <w:rFonts w:eastAsia="Times New Roman"/>
                <w:color w:val="000000"/>
                <w:sz w:val="22"/>
                <w:szCs w:val="22"/>
              </w:rPr>
            </w:pPr>
            <w:r w:rsidRPr="0069699E">
              <w:rPr>
                <w:rFonts w:eastAsia="Times New Roman"/>
                <w:color w:val="000000"/>
                <w:sz w:val="22"/>
                <w:szCs w:val="22"/>
              </w:rPr>
              <w:t>0.0518</w:t>
            </w:r>
          </w:p>
        </w:tc>
        <w:tc>
          <w:tcPr>
            <w:tcW w:w="652" w:type="pct"/>
            <w:tcBorders>
              <w:top w:val="nil"/>
              <w:left w:val="nil"/>
              <w:bottom w:val="nil"/>
              <w:right w:val="single" w:sz="4" w:space="0" w:color="auto"/>
            </w:tcBorders>
            <w:shd w:val="clear" w:color="auto" w:fill="auto"/>
            <w:noWrap/>
            <w:vAlign w:val="center"/>
            <w:hideMark/>
          </w:tcPr>
          <w:p w:rsidR="00B6514D" w:rsidRPr="0069699E" w:rsidRDefault="00B6514D" w:rsidP="0069699E">
            <w:pPr>
              <w:spacing w:line="240" w:lineRule="auto"/>
              <w:jc w:val="center"/>
              <w:rPr>
                <w:rFonts w:eastAsia="Times New Roman"/>
                <w:color w:val="000000"/>
                <w:sz w:val="22"/>
                <w:szCs w:val="22"/>
              </w:rPr>
            </w:pPr>
            <w:r w:rsidRPr="0069699E">
              <w:rPr>
                <w:rFonts w:eastAsia="Times New Roman"/>
                <w:color w:val="000000"/>
                <w:sz w:val="22"/>
                <w:szCs w:val="22"/>
              </w:rPr>
              <w:t>0.0900</w:t>
            </w:r>
          </w:p>
        </w:tc>
        <w:tc>
          <w:tcPr>
            <w:tcW w:w="652" w:type="pct"/>
            <w:tcBorders>
              <w:top w:val="nil"/>
              <w:left w:val="nil"/>
              <w:bottom w:val="nil"/>
              <w:right w:val="nil"/>
            </w:tcBorders>
            <w:shd w:val="clear" w:color="auto" w:fill="auto"/>
            <w:noWrap/>
            <w:vAlign w:val="center"/>
            <w:hideMark/>
          </w:tcPr>
          <w:p w:rsidR="00B6514D" w:rsidRPr="0069699E" w:rsidRDefault="00B6514D" w:rsidP="00C53DE9">
            <w:pPr>
              <w:spacing w:line="240" w:lineRule="auto"/>
              <w:jc w:val="center"/>
              <w:rPr>
                <w:rFonts w:eastAsia="Times New Roman"/>
                <w:color w:val="000000"/>
                <w:sz w:val="22"/>
                <w:szCs w:val="22"/>
              </w:rPr>
            </w:pPr>
            <w:r w:rsidRPr="0069699E">
              <w:rPr>
                <w:rFonts w:eastAsia="Times New Roman"/>
                <w:color w:val="000000"/>
                <w:sz w:val="22"/>
                <w:szCs w:val="22"/>
              </w:rPr>
              <w:t>0.0058</w:t>
            </w:r>
          </w:p>
        </w:tc>
        <w:tc>
          <w:tcPr>
            <w:tcW w:w="652" w:type="pct"/>
            <w:tcBorders>
              <w:top w:val="nil"/>
              <w:left w:val="nil"/>
              <w:bottom w:val="nil"/>
              <w:right w:val="nil"/>
            </w:tcBorders>
            <w:shd w:val="clear" w:color="auto" w:fill="auto"/>
            <w:noWrap/>
            <w:vAlign w:val="center"/>
            <w:hideMark/>
          </w:tcPr>
          <w:p w:rsidR="00B6514D" w:rsidRPr="0069699E" w:rsidRDefault="00B6514D" w:rsidP="00C53DE9">
            <w:pPr>
              <w:spacing w:line="240" w:lineRule="auto"/>
              <w:jc w:val="center"/>
              <w:rPr>
                <w:rFonts w:eastAsia="Times New Roman"/>
                <w:color w:val="000000"/>
                <w:sz w:val="22"/>
                <w:szCs w:val="22"/>
              </w:rPr>
            </w:pPr>
            <w:r w:rsidRPr="0069699E">
              <w:rPr>
                <w:rFonts w:eastAsia="Times New Roman"/>
                <w:color w:val="000000"/>
                <w:sz w:val="22"/>
                <w:szCs w:val="22"/>
              </w:rPr>
              <w:t>0.0518</w:t>
            </w:r>
          </w:p>
        </w:tc>
        <w:tc>
          <w:tcPr>
            <w:tcW w:w="652" w:type="pct"/>
            <w:tcBorders>
              <w:top w:val="nil"/>
              <w:left w:val="nil"/>
              <w:bottom w:val="nil"/>
              <w:right w:val="nil"/>
            </w:tcBorders>
            <w:shd w:val="clear" w:color="auto" w:fill="auto"/>
            <w:noWrap/>
            <w:vAlign w:val="center"/>
            <w:hideMark/>
          </w:tcPr>
          <w:p w:rsidR="00B6514D" w:rsidRPr="0069699E" w:rsidRDefault="00B6514D" w:rsidP="00C53DE9">
            <w:pPr>
              <w:spacing w:line="240" w:lineRule="auto"/>
              <w:jc w:val="center"/>
              <w:rPr>
                <w:rFonts w:eastAsia="Times New Roman"/>
                <w:color w:val="000000"/>
                <w:sz w:val="22"/>
                <w:szCs w:val="22"/>
              </w:rPr>
            </w:pPr>
            <w:r w:rsidRPr="0069699E">
              <w:rPr>
                <w:rFonts w:eastAsia="Times New Roman"/>
                <w:color w:val="000000"/>
                <w:sz w:val="22"/>
                <w:szCs w:val="22"/>
              </w:rPr>
              <w:t>0.0900</w:t>
            </w:r>
          </w:p>
        </w:tc>
      </w:tr>
      <w:tr w:rsidR="00B6514D" w:rsidRPr="0069699E" w:rsidTr="0093428B">
        <w:trPr>
          <w:trHeight w:val="360"/>
        </w:trPr>
        <w:tc>
          <w:tcPr>
            <w:tcW w:w="1090" w:type="pct"/>
            <w:tcBorders>
              <w:top w:val="nil"/>
              <w:left w:val="nil"/>
              <w:bottom w:val="single" w:sz="4" w:space="0" w:color="auto"/>
              <w:right w:val="nil"/>
            </w:tcBorders>
            <w:shd w:val="clear" w:color="auto" w:fill="auto"/>
            <w:noWrap/>
            <w:vAlign w:val="center"/>
            <w:hideMark/>
          </w:tcPr>
          <w:p w:rsidR="00B6514D" w:rsidRPr="0069699E" w:rsidRDefault="00B6514D" w:rsidP="0069699E">
            <w:pPr>
              <w:spacing w:line="240" w:lineRule="auto"/>
              <w:rPr>
                <w:rFonts w:eastAsia="Times New Roman"/>
                <w:color w:val="000000"/>
                <w:sz w:val="22"/>
                <w:szCs w:val="22"/>
              </w:rPr>
            </w:pPr>
            <w:r w:rsidRPr="0069699E">
              <w:rPr>
                <w:rFonts w:eastAsia="Times New Roman"/>
                <w:color w:val="000000"/>
                <w:sz w:val="22"/>
                <w:szCs w:val="22"/>
              </w:rPr>
              <w:t>N</w:t>
            </w:r>
          </w:p>
        </w:tc>
        <w:tc>
          <w:tcPr>
            <w:tcW w:w="652" w:type="pct"/>
            <w:tcBorders>
              <w:top w:val="nil"/>
              <w:left w:val="nil"/>
              <w:bottom w:val="single" w:sz="4" w:space="0" w:color="auto"/>
              <w:right w:val="nil"/>
            </w:tcBorders>
            <w:shd w:val="clear" w:color="auto" w:fill="auto"/>
            <w:noWrap/>
            <w:vAlign w:val="center"/>
            <w:hideMark/>
          </w:tcPr>
          <w:p w:rsidR="00B6514D" w:rsidRPr="0069699E" w:rsidRDefault="00B6514D" w:rsidP="0069699E">
            <w:pPr>
              <w:spacing w:line="240" w:lineRule="auto"/>
              <w:jc w:val="center"/>
              <w:rPr>
                <w:rFonts w:eastAsia="Times New Roman"/>
                <w:color w:val="000000"/>
                <w:sz w:val="22"/>
                <w:szCs w:val="22"/>
              </w:rPr>
            </w:pPr>
            <w:r w:rsidRPr="0069699E">
              <w:rPr>
                <w:rFonts w:eastAsia="Times New Roman"/>
                <w:color w:val="000000"/>
                <w:sz w:val="22"/>
                <w:szCs w:val="22"/>
              </w:rPr>
              <w:t>1020</w:t>
            </w:r>
          </w:p>
        </w:tc>
        <w:tc>
          <w:tcPr>
            <w:tcW w:w="652" w:type="pct"/>
            <w:tcBorders>
              <w:top w:val="nil"/>
              <w:left w:val="nil"/>
              <w:bottom w:val="single" w:sz="4" w:space="0" w:color="auto"/>
              <w:right w:val="nil"/>
            </w:tcBorders>
            <w:shd w:val="clear" w:color="auto" w:fill="auto"/>
            <w:noWrap/>
            <w:vAlign w:val="center"/>
            <w:hideMark/>
          </w:tcPr>
          <w:p w:rsidR="00B6514D" w:rsidRPr="0069699E" w:rsidRDefault="00B6514D" w:rsidP="0069699E">
            <w:pPr>
              <w:spacing w:line="240" w:lineRule="auto"/>
              <w:jc w:val="center"/>
              <w:rPr>
                <w:rFonts w:eastAsia="Times New Roman"/>
                <w:color w:val="000000"/>
                <w:sz w:val="22"/>
                <w:szCs w:val="22"/>
              </w:rPr>
            </w:pPr>
            <w:r w:rsidRPr="0069699E">
              <w:rPr>
                <w:rFonts w:eastAsia="Times New Roman"/>
                <w:color w:val="000000"/>
                <w:sz w:val="22"/>
                <w:szCs w:val="22"/>
              </w:rPr>
              <w:t>1020</w:t>
            </w:r>
          </w:p>
        </w:tc>
        <w:tc>
          <w:tcPr>
            <w:tcW w:w="652" w:type="pct"/>
            <w:tcBorders>
              <w:top w:val="nil"/>
              <w:left w:val="nil"/>
              <w:bottom w:val="single" w:sz="4" w:space="0" w:color="auto"/>
              <w:right w:val="single" w:sz="4" w:space="0" w:color="auto"/>
            </w:tcBorders>
            <w:shd w:val="clear" w:color="auto" w:fill="auto"/>
            <w:noWrap/>
            <w:vAlign w:val="center"/>
            <w:hideMark/>
          </w:tcPr>
          <w:p w:rsidR="00B6514D" w:rsidRPr="0069699E" w:rsidRDefault="00B6514D" w:rsidP="0069699E">
            <w:pPr>
              <w:spacing w:line="240" w:lineRule="auto"/>
              <w:jc w:val="center"/>
              <w:rPr>
                <w:rFonts w:eastAsia="Times New Roman"/>
                <w:color w:val="000000"/>
                <w:sz w:val="22"/>
                <w:szCs w:val="22"/>
              </w:rPr>
            </w:pPr>
            <w:r w:rsidRPr="0069699E">
              <w:rPr>
                <w:rFonts w:eastAsia="Times New Roman"/>
                <w:color w:val="000000"/>
                <w:sz w:val="22"/>
                <w:szCs w:val="22"/>
              </w:rPr>
              <w:t>1020</w:t>
            </w:r>
          </w:p>
        </w:tc>
        <w:tc>
          <w:tcPr>
            <w:tcW w:w="652" w:type="pct"/>
            <w:tcBorders>
              <w:top w:val="nil"/>
              <w:left w:val="nil"/>
              <w:bottom w:val="single" w:sz="4" w:space="0" w:color="auto"/>
              <w:right w:val="nil"/>
            </w:tcBorders>
            <w:shd w:val="clear" w:color="auto" w:fill="auto"/>
            <w:noWrap/>
            <w:vAlign w:val="center"/>
            <w:hideMark/>
          </w:tcPr>
          <w:p w:rsidR="00B6514D" w:rsidRPr="0069699E" w:rsidRDefault="00B6514D" w:rsidP="00C53DE9">
            <w:pPr>
              <w:spacing w:line="240" w:lineRule="auto"/>
              <w:jc w:val="center"/>
              <w:rPr>
                <w:rFonts w:eastAsia="Times New Roman"/>
                <w:color w:val="000000"/>
                <w:sz w:val="22"/>
                <w:szCs w:val="22"/>
              </w:rPr>
            </w:pPr>
            <w:r w:rsidRPr="0069699E">
              <w:rPr>
                <w:rFonts w:eastAsia="Times New Roman"/>
                <w:color w:val="000000"/>
                <w:sz w:val="22"/>
                <w:szCs w:val="22"/>
              </w:rPr>
              <w:t>1020</w:t>
            </w:r>
          </w:p>
        </w:tc>
        <w:tc>
          <w:tcPr>
            <w:tcW w:w="652" w:type="pct"/>
            <w:tcBorders>
              <w:top w:val="nil"/>
              <w:left w:val="nil"/>
              <w:bottom w:val="single" w:sz="4" w:space="0" w:color="auto"/>
              <w:right w:val="nil"/>
            </w:tcBorders>
            <w:shd w:val="clear" w:color="auto" w:fill="auto"/>
            <w:noWrap/>
            <w:vAlign w:val="center"/>
            <w:hideMark/>
          </w:tcPr>
          <w:p w:rsidR="00B6514D" w:rsidRPr="0069699E" w:rsidRDefault="00B6514D" w:rsidP="00C53DE9">
            <w:pPr>
              <w:spacing w:line="240" w:lineRule="auto"/>
              <w:jc w:val="center"/>
              <w:rPr>
                <w:rFonts w:eastAsia="Times New Roman"/>
                <w:color w:val="000000"/>
                <w:sz w:val="22"/>
                <w:szCs w:val="22"/>
              </w:rPr>
            </w:pPr>
            <w:r w:rsidRPr="0069699E">
              <w:rPr>
                <w:rFonts w:eastAsia="Times New Roman"/>
                <w:color w:val="000000"/>
                <w:sz w:val="22"/>
                <w:szCs w:val="22"/>
              </w:rPr>
              <w:t>1020</w:t>
            </w:r>
          </w:p>
        </w:tc>
        <w:tc>
          <w:tcPr>
            <w:tcW w:w="652" w:type="pct"/>
            <w:tcBorders>
              <w:top w:val="nil"/>
              <w:left w:val="nil"/>
              <w:bottom w:val="single" w:sz="4" w:space="0" w:color="auto"/>
              <w:right w:val="nil"/>
            </w:tcBorders>
            <w:shd w:val="clear" w:color="auto" w:fill="auto"/>
            <w:noWrap/>
            <w:vAlign w:val="center"/>
            <w:hideMark/>
          </w:tcPr>
          <w:p w:rsidR="00B6514D" w:rsidRPr="0069699E" w:rsidRDefault="00B6514D" w:rsidP="00C53DE9">
            <w:pPr>
              <w:spacing w:line="240" w:lineRule="auto"/>
              <w:jc w:val="center"/>
              <w:rPr>
                <w:rFonts w:eastAsia="Times New Roman"/>
                <w:color w:val="000000"/>
                <w:sz w:val="22"/>
                <w:szCs w:val="22"/>
              </w:rPr>
            </w:pPr>
            <w:r w:rsidRPr="0069699E">
              <w:rPr>
                <w:rFonts w:eastAsia="Times New Roman"/>
                <w:color w:val="000000"/>
                <w:sz w:val="22"/>
                <w:szCs w:val="22"/>
              </w:rPr>
              <w:t>1020</w:t>
            </w:r>
          </w:p>
        </w:tc>
      </w:tr>
      <w:tr w:rsidR="00B6514D" w:rsidRPr="0069699E" w:rsidTr="0093428B">
        <w:trPr>
          <w:trHeight w:val="360"/>
        </w:trPr>
        <w:tc>
          <w:tcPr>
            <w:tcW w:w="5000" w:type="pct"/>
            <w:gridSpan w:val="7"/>
            <w:tcBorders>
              <w:top w:val="nil"/>
              <w:left w:val="nil"/>
              <w:bottom w:val="nil"/>
              <w:right w:val="nil"/>
            </w:tcBorders>
            <w:shd w:val="clear" w:color="auto" w:fill="auto"/>
            <w:noWrap/>
            <w:vAlign w:val="center"/>
            <w:hideMark/>
          </w:tcPr>
          <w:p w:rsidR="00B6514D" w:rsidRPr="0069699E" w:rsidRDefault="00B6514D" w:rsidP="0069699E">
            <w:pPr>
              <w:spacing w:line="240" w:lineRule="auto"/>
              <w:rPr>
                <w:rFonts w:eastAsia="Times New Roman"/>
                <w:color w:val="000000"/>
                <w:sz w:val="22"/>
                <w:szCs w:val="22"/>
              </w:rPr>
            </w:pPr>
            <w:r w:rsidRPr="00F74E3C">
              <w:rPr>
                <w:rFonts w:eastAsia="Times New Roman"/>
                <w:iCs/>
                <w:color w:val="000000"/>
                <w:sz w:val="20"/>
                <w:szCs w:val="20"/>
              </w:rPr>
              <w:t>Note</w:t>
            </w:r>
            <w:r w:rsidRPr="0069699E">
              <w:rPr>
                <w:rFonts w:eastAsia="Times New Roman"/>
                <w:color w:val="000000"/>
                <w:sz w:val="20"/>
                <w:szCs w:val="20"/>
              </w:rPr>
              <w:t>: * p&lt;0.10, ** p&lt;0.05, *** p&lt;0.01. Full results are presented in the Appendix.</w:t>
            </w:r>
          </w:p>
        </w:tc>
      </w:tr>
    </w:tbl>
    <w:p w:rsidR="00491DB1" w:rsidRDefault="00491DB1" w:rsidP="00491DB1">
      <w:pPr>
        <w:pStyle w:val="ListParagraph"/>
        <w:spacing w:line="480" w:lineRule="auto"/>
        <w:ind w:left="0"/>
        <w:jc w:val="both"/>
      </w:pPr>
    </w:p>
    <w:p w:rsidR="00491DB1" w:rsidRDefault="00491DB1" w:rsidP="00491DB1">
      <w:pPr>
        <w:pStyle w:val="ListParagraph"/>
        <w:numPr>
          <w:ilvl w:val="0"/>
          <w:numId w:val="2"/>
        </w:numPr>
        <w:spacing w:after="200" w:line="480" w:lineRule="auto"/>
        <w:ind w:left="360"/>
        <w:contextualSpacing w:val="0"/>
        <w:rPr>
          <w:b/>
          <w:sz w:val="28"/>
        </w:rPr>
      </w:pPr>
      <w:r w:rsidRPr="00FE3646">
        <w:rPr>
          <w:b/>
          <w:sz w:val="28"/>
        </w:rPr>
        <w:t>Conclusion</w:t>
      </w:r>
    </w:p>
    <w:p w:rsidR="00491DB1" w:rsidRDefault="00491DB1" w:rsidP="00491DB1">
      <w:pPr>
        <w:spacing w:line="480" w:lineRule="auto"/>
        <w:jc w:val="both"/>
      </w:pPr>
      <w:r>
        <w:t xml:space="preserve">The number of individuals worldwide displaced from their homes is at a level not seen since the Second World War. In Afghanistan, decades of conflict have resulted in one of the worst cases of displacement, which is likely to endure into the near future. With this in mind, this study investigates the long-term consequences of conflict and displacement in Afghanistan by inquiring how the younger generations within displaced households fare in their particular circumstances. More specifically, we compare the differences in child-specific outcomes between households that have experienced internal displacement and those who have </w:t>
      </w:r>
      <w:r w:rsidR="00EF0055">
        <w:t>not</w:t>
      </w:r>
      <w:r>
        <w:t>. As a way to infer future livelihood prospects of the child, these outcomes relate to human capital formation concentrating on both education and nutrition.</w:t>
      </w:r>
    </w:p>
    <w:p w:rsidR="00491DB1" w:rsidRDefault="00491DB1" w:rsidP="00655A9B">
      <w:pPr>
        <w:spacing w:line="480" w:lineRule="auto"/>
        <w:jc w:val="both"/>
      </w:pPr>
    </w:p>
    <w:p w:rsidR="00491DB1" w:rsidRDefault="00EF0055" w:rsidP="00491DB1">
      <w:pPr>
        <w:pStyle w:val="ListParagraph"/>
        <w:spacing w:line="480" w:lineRule="auto"/>
        <w:ind w:left="0"/>
        <w:jc w:val="both"/>
      </w:pPr>
      <w:r>
        <w:t>O</w:t>
      </w:r>
      <w:r w:rsidR="00491DB1">
        <w:t>ur analysis find</w:t>
      </w:r>
      <w:r>
        <w:t>s</w:t>
      </w:r>
      <w:r w:rsidR="00491DB1">
        <w:t xml:space="preserve"> strong evidence that displacement leads to greater food insecurity and lower dietary diversity within those households. In particular, a </w:t>
      </w:r>
      <w:r w:rsidR="00491DB1" w:rsidRPr="00B6514D">
        <w:t xml:space="preserve">displaced </w:t>
      </w:r>
      <w:r w:rsidR="00491DB1">
        <w:t xml:space="preserve">household is 17 percent less likely to have eaten meat in the week prior to the survey, and those displaced households that had eaten meat ate 30 percent less in comparison to their non-displaced counterparts. Moreover, there is indication that displacement has a negative effect on school attendance, not only for all children but also when differentiating by gender. However these </w:t>
      </w:r>
      <w:r w:rsidR="00E72699">
        <w:t xml:space="preserve">last </w:t>
      </w:r>
      <w:r w:rsidR="00491DB1">
        <w:t xml:space="preserve">estimates are not robust to the inclusion of location fixed effects. As such, it seems we can deduce then that the dynamics within the communities of displacement are more likely to influence educational outcomes regardless of whether the household is displaced or not. This </w:t>
      </w:r>
      <w:r w:rsidR="00BF0BB7">
        <w:t xml:space="preserve">is likely </w:t>
      </w:r>
      <w:r w:rsidR="00491DB1">
        <w:t xml:space="preserve">due the lack of local services </w:t>
      </w:r>
      <w:r w:rsidR="00A619AD">
        <w:t>like schools in communities throughout Afghanistan, but especially in rural areas where many of the displaced are located. Indeed</w:t>
      </w:r>
      <w:r w:rsidR="006626A8">
        <w:t>,</w:t>
      </w:r>
      <w:r w:rsidR="00A619AD">
        <w:t xml:space="preserve"> the NRVA report for 2011/2012 makes note of the low absorption capacity of the education system overall, while also </w:t>
      </w:r>
      <w:r w:rsidR="006626A8">
        <w:t xml:space="preserve">highlighting </w:t>
      </w:r>
      <w:r w:rsidR="00A619AD">
        <w:t>general impediments to school attendance like insecurity and distance to schools (CSO, 2014).</w:t>
      </w:r>
      <w:r w:rsidR="006626A8">
        <w:t xml:space="preserve"> Otherwise, it</w:t>
      </w:r>
      <w:r w:rsidR="00491DB1">
        <w:t xml:space="preserve"> </w:t>
      </w:r>
      <w:r w:rsidR="006626A8">
        <w:t xml:space="preserve">may be that </w:t>
      </w:r>
      <w:r w:rsidR="00491DB1">
        <w:t xml:space="preserve">areas </w:t>
      </w:r>
      <w:r w:rsidR="006626A8">
        <w:t xml:space="preserve">commonly receiving the displaced </w:t>
      </w:r>
      <w:r w:rsidR="00491DB1">
        <w:t xml:space="preserve">are </w:t>
      </w:r>
      <w:r w:rsidR="006626A8">
        <w:t xml:space="preserve">generally </w:t>
      </w:r>
      <w:r w:rsidR="00491DB1">
        <w:t>poorer resulting in a substitution of schooling f</w:t>
      </w:r>
      <w:r w:rsidR="006626A8">
        <w:t>or income-generating activities not only for displaced households but non-displaced households as well.</w:t>
      </w:r>
    </w:p>
    <w:p w:rsidR="00E762A3" w:rsidRDefault="00E762A3" w:rsidP="00E762A3">
      <w:pPr>
        <w:spacing w:line="480" w:lineRule="auto"/>
        <w:jc w:val="both"/>
      </w:pPr>
    </w:p>
    <w:p w:rsidR="00E762A3" w:rsidRDefault="00E762A3" w:rsidP="00E762A3">
      <w:pPr>
        <w:pStyle w:val="ListParagraph"/>
        <w:spacing w:line="480" w:lineRule="auto"/>
        <w:ind w:left="0"/>
        <w:jc w:val="both"/>
      </w:pPr>
      <w:r>
        <w:t>An evident limitation of our analysis is the inability to fully account for endogeneity, namely selection bias</w:t>
      </w:r>
      <w:r w:rsidR="0067282E">
        <w:t xml:space="preserve"> </w:t>
      </w:r>
      <w:r w:rsidR="00934513">
        <w:t xml:space="preserve">of </w:t>
      </w:r>
      <w:r w:rsidR="0067282E">
        <w:t>displacement</w:t>
      </w:r>
      <w:r>
        <w:t>. We make efforts to minimize any potential bias by considering only those households involuntarily displaced due to co</w:t>
      </w:r>
      <w:r w:rsidR="00220976">
        <w:t>nflict, insecurity, persecution</w:t>
      </w:r>
      <w:r>
        <w:t xml:space="preserve"> or natural disaster – arguable exogenous shocks – and who chose their destination location without consideration for the outcomes in question (e.g. services like education, food and health). </w:t>
      </w:r>
      <w:r>
        <w:lastRenderedPageBreak/>
        <w:t xml:space="preserve">Nonetheless, it is still possible that some households may be systematically more exposed to violence, and therefore displacement, given inherent characteristics leading to inconsistent estimates. With this in mind, we believe our estimates should be regarded as lower bounds for two reasons </w:t>
      </w:r>
      <w:r w:rsidR="0067282E">
        <w:t xml:space="preserve">that make </w:t>
      </w:r>
      <w:r>
        <w:t xml:space="preserve">it probable displaced households are better off </w:t>
      </w:r>
      <w:r w:rsidR="0067282E" w:rsidRPr="006626A8">
        <w:t>a priori</w:t>
      </w:r>
      <w:r w:rsidR="0067282E">
        <w:t xml:space="preserve"> relative to </w:t>
      </w:r>
      <w:r>
        <w:t>non-</w:t>
      </w:r>
      <w:r w:rsidR="009931C5">
        <w:t>displaced households</w:t>
      </w:r>
      <w:r>
        <w:t>: local violence</w:t>
      </w:r>
      <w:r w:rsidR="0067282E">
        <w:t>, if targeted,</w:t>
      </w:r>
      <w:r>
        <w:t xml:space="preserve"> is likely targeted towards w</w:t>
      </w:r>
      <w:r w:rsidR="0067282E">
        <w:t>ealthy members of the community;</w:t>
      </w:r>
      <w:r>
        <w:t xml:space="preserve"> and the migration journey itself, even internally, is cost</w:t>
      </w:r>
      <w:r w:rsidR="0067282E">
        <w:t>ly</w:t>
      </w:r>
      <w:r>
        <w:t>. As such, our estimates, if in fact imprecise, should in principle be underestimating any true effect that shows a negative difference between displac</w:t>
      </w:r>
      <w:r w:rsidR="0067282E">
        <w:t xml:space="preserve">ed and non-displaced households </w:t>
      </w:r>
      <w:r>
        <w:t>making them still fundamentally meaningful.</w:t>
      </w:r>
    </w:p>
    <w:p w:rsidR="00E762A3" w:rsidRDefault="00E762A3" w:rsidP="00E762A3">
      <w:pPr>
        <w:spacing w:line="480" w:lineRule="auto"/>
        <w:jc w:val="both"/>
      </w:pPr>
    </w:p>
    <w:p w:rsidR="009931C5" w:rsidRDefault="009931C5" w:rsidP="00E762A3">
      <w:pPr>
        <w:spacing w:line="480" w:lineRule="auto"/>
        <w:jc w:val="both"/>
      </w:pPr>
      <w:r>
        <w:t xml:space="preserve">Another </w:t>
      </w:r>
      <w:r w:rsidR="006626A8">
        <w:t xml:space="preserve">clear </w:t>
      </w:r>
      <w:r>
        <w:t>drawback is the fact that our analysis is done entirely at the household</w:t>
      </w:r>
      <w:r w:rsidR="00FD512B">
        <w:t xml:space="preserve"> </w:t>
      </w:r>
      <w:r>
        <w:t xml:space="preserve">level. While certain questions within the original survey focused on individuals within the household (e.g. adult respondent’s level of education), we lose a level of insight by not having all information at </w:t>
      </w:r>
      <w:r w:rsidR="00FD512B">
        <w:t xml:space="preserve">the individual </w:t>
      </w:r>
      <w:r>
        <w:t>level. For instance, our results for food insecurity pertain to the whole household. However it is not difficult to imagine a case where intra-household differences in food consumption exist especially between children and adults, or even by gender.</w:t>
      </w:r>
      <w:r w:rsidR="006626A8">
        <w:t xml:space="preserve"> Even though cost limitations </w:t>
      </w:r>
      <w:r w:rsidR="00FD512B">
        <w:t xml:space="preserve">frequently hamper more detailed </w:t>
      </w:r>
      <w:r w:rsidR="006626A8">
        <w:t xml:space="preserve">data collection </w:t>
      </w:r>
      <w:r w:rsidR="00FD512B">
        <w:t>at the individual level, future surveys in this still understudied context would be wise to do so.</w:t>
      </w:r>
    </w:p>
    <w:p w:rsidR="009931C5" w:rsidRDefault="009931C5" w:rsidP="00E762A3">
      <w:pPr>
        <w:spacing w:line="480" w:lineRule="auto"/>
        <w:jc w:val="both"/>
      </w:pPr>
    </w:p>
    <w:p w:rsidR="00893BBF" w:rsidRDefault="00934513" w:rsidP="00E762A3">
      <w:pPr>
        <w:spacing w:line="480" w:lineRule="auto"/>
        <w:jc w:val="both"/>
      </w:pPr>
      <w:r>
        <w:t>The</w:t>
      </w:r>
      <w:r w:rsidR="00E762A3">
        <w:t xml:space="preserve"> </w:t>
      </w:r>
      <w:r w:rsidR="00C167A7">
        <w:t>overall conclusion</w:t>
      </w:r>
      <w:r w:rsidR="00E762A3">
        <w:t xml:space="preserve"> that internally displaced households are a </w:t>
      </w:r>
      <w:r w:rsidR="00310627">
        <w:t xml:space="preserve">particularly </w:t>
      </w:r>
      <w:r w:rsidR="00E762A3">
        <w:t>vulnerable sub-group within the population at large is not a</w:t>
      </w:r>
      <w:r w:rsidR="00310627">
        <w:t>n</w:t>
      </w:r>
      <w:r w:rsidR="00E762A3">
        <w:t xml:space="preserve"> </w:t>
      </w:r>
      <w:r w:rsidR="00310627">
        <w:t>unexpected</w:t>
      </w:r>
      <w:r w:rsidR="00E762A3">
        <w:t xml:space="preserve"> revelation. What is </w:t>
      </w:r>
      <w:r w:rsidR="00310627">
        <w:t>salient,</w:t>
      </w:r>
      <w:r w:rsidR="00E762A3">
        <w:t xml:space="preserve"> </w:t>
      </w:r>
      <w:r w:rsidR="00310627">
        <w:t xml:space="preserve">however, </w:t>
      </w:r>
      <w:r w:rsidR="00E762A3">
        <w:t xml:space="preserve">is the extent to which children of displaced households </w:t>
      </w:r>
      <w:r w:rsidR="00310627">
        <w:t xml:space="preserve">may be </w:t>
      </w:r>
      <w:r w:rsidR="00E762A3">
        <w:t xml:space="preserve">particularly afflicted, and the consequences this may have </w:t>
      </w:r>
      <w:r w:rsidR="00310627">
        <w:t>in the future</w:t>
      </w:r>
      <w:r w:rsidR="00E762A3">
        <w:t xml:space="preserve">. As such, in the context of Afghanistan there is a real </w:t>
      </w:r>
      <w:r w:rsidR="00E762A3">
        <w:lastRenderedPageBreak/>
        <w:t xml:space="preserve">need for further understanding pertaining to protection and assistance </w:t>
      </w:r>
      <w:r w:rsidR="00C167A7">
        <w:t xml:space="preserve">needs </w:t>
      </w:r>
      <w:r w:rsidR="00E762A3">
        <w:t xml:space="preserve">for this at risk sub-population. </w:t>
      </w:r>
      <w:r w:rsidR="00C167A7">
        <w:t>Such efforts are already under way as the national government supported by international organizations and NGOs begin to focus more closely on the</w:t>
      </w:r>
      <w:r w:rsidR="00F8367C">
        <w:t xml:space="preserve">se households </w:t>
      </w:r>
      <w:r w:rsidR="00C167A7">
        <w:t>in an effort to develop displacement-sensitive programing and policies</w:t>
      </w:r>
      <w:r w:rsidR="00F8367C">
        <w:t xml:space="preserve"> (see </w:t>
      </w:r>
      <w:proofErr w:type="spellStart"/>
      <w:r w:rsidR="00AD593A">
        <w:t>Schmeidl</w:t>
      </w:r>
      <w:proofErr w:type="spellEnd"/>
      <w:r w:rsidR="00AD593A">
        <w:t xml:space="preserve"> et al.</w:t>
      </w:r>
      <w:r w:rsidR="00F8367C">
        <w:t xml:space="preserve">, 2010; </w:t>
      </w:r>
      <w:r w:rsidR="009B7779">
        <w:t>World Bank, 2011; Samuel Hall</w:t>
      </w:r>
      <w:r w:rsidR="00916712">
        <w:t xml:space="preserve"> Consulting</w:t>
      </w:r>
      <w:r w:rsidR="00F8367C">
        <w:t>, 2012; Brookings, 2013; Samuel Hall</w:t>
      </w:r>
      <w:r w:rsidR="00916712" w:rsidRPr="00916712">
        <w:t xml:space="preserve"> </w:t>
      </w:r>
      <w:r w:rsidR="00916712">
        <w:t>Consulting</w:t>
      </w:r>
      <w:r w:rsidR="00F8367C">
        <w:t>, 2014)</w:t>
      </w:r>
      <w:r w:rsidR="00C167A7">
        <w:t xml:space="preserve">. </w:t>
      </w:r>
    </w:p>
    <w:p w:rsidR="00893BBF" w:rsidRDefault="00893BBF" w:rsidP="00E762A3">
      <w:pPr>
        <w:spacing w:line="480" w:lineRule="auto"/>
        <w:jc w:val="both"/>
      </w:pPr>
    </w:p>
    <w:p w:rsidR="00893BBF" w:rsidRDefault="00F8367C" w:rsidP="00893BBF">
      <w:pPr>
        <w:spacing w:line="480" w:lineRule="auto"/>
        <w:jc w:val="both"/>
      </w:pPr>
      <w:r>
        <w:t>What is clear is that s</w:t>
      </w:r>
      <w:r w:rsidR="00C167A7">
        <w:t>uch policies need to take into account how best to protect displaced households given their particular needs and vulnerabilities</w:t>
      </w:r>
      <w:r w:rsidR="00806AA3">
        <w:t>. T</w:t>
      </w:r>
      <w:r w:rsidR="00893BBF">
        <w:t>he study here identifies both food security and dietary diversity as clear problem</w:t>
      </w:r>
      <w:r w:rsidR="00806AA3">
        <w:t>s</w:t>
      </w:r>
      <w:r w:rsidR="00893BBF">
        <w:t xml:space="preserve"> facing displaced households which can be addressed through coordinated efforts to improve access to markets along with arable land. Moreover, even though we fail to find a direct link between displacement and education in this study, qualitative evidence still points to low levels of school enrollment for IDP children due to the lack of school facilities and the not uncommon practices of child marriage and child labor (</w:t>
      </w:r>
      <w:r w:rsidR="00806AA3">
        <w:t>S</w:t>
      </w:r>
      <w:r w:rsidR="00893BBF">
        <w:t>amuel Hall</w:t>
      </w:r>
      <w:r w:rsidR="00916712">
        <w:t xml:space="preserve"> Consulting</w:t>
      </w:r>
      <w:r w:rsidR="00893BBF">
        <w:t xml:space="preserve">, 2014). As such, further investment in school </w:t>
      </w:r>
      <w:r w:rsidR="00806AA3">
        <w:t xml:space="preserve">facilities </w:t>
      </w:r>
      <w:r w:rsidR="00893BBF">
        <w:t xml:space="preserve">where internally displaced households commonly settle, as well as culturally-sensitive information programs about these customary practices may </w:t>
      </w:r>
      <w:r w:rsidR="00806AA3">
        <w:t>be particularly beneficial</w:t>
      </w:r>
      <w:r w:rsidR="00893BBF">
        <w:t>.</w:t>
      </w:r>
    </w:p>
    <w:p w:rsidR="00E762A3" w:rsidRDefault="00E762A3">
      <w:pPr>
        <w:spacing w:line="240" w:lineRule="auto"/>
        <w:rPr>
          <w:b/>
          <w:sz w:val="28"/>
        </w:rPr>
      </w:pPr>
      <w:r>
        <w:rPr>
          <w:b/>
          <w:sz w:val="28"/>
        </w:rPr>
        <w:br w:type="page"/>
      </w:r>
    </w:p>
    <w:p w:rsidR="00974C93" w:rsidRDefault="00974C93" w:rsidP="009F6424">
      <w:pPr>
        <w:pStyle w:val="ListParagraph"/>
        <w:spacing w:after="200" w:line="480" w:lineRule="auto"/>
        <w:ind w:left="0"/>
        <w:contextualSpacing w:val="0"/>
        <w:jc w:val="both"/>
        <w:rPr>
          <w:b/>
          <w:sz w:val="28"/>
        </w:rPr>
      </w:pPr>
      <w:r w:rsidRPr="00974C93">
        <w:rPr>
          <w:b/>
          <w:sz w:val="28"/>
        </w:rPr>
        <w:lastRenderedPageBreak/>
        <w:t>Works Cited</w:t>
      </w:r>
    </w:p>
    <w:p w:rsidR="008A2364" w:rsidRPr="003555E1" w:rsidRDefault="008A2364" w:rsidP="008A2364">
      <w:pPr>
        <w:spacing w:line="480" w:lineRule="auto"/>
        <w:ind w:left="720" w:hanging="720"/>
        <w:jc w:val="both"/>
      </w:pPr>
      <w:r w:rsidRPr="009318BB">
        <w:rPr>
          <w:lang w:val="nl-NL"/>
        </w:rPr>
        <w:t xml:space="preserve">Akresh R., Verwimp P. &amp; Bundervoet T. (2011). </w:t>
      </w:r>
      <w:proofErr w:type="gramStart"/>
      <w:r>
        <w:t>Civil War, Crop Failure, and Child Stunting in Rwanda.</w:t>
      </w:r>
      <w:proofErr w:type="gramEnd"/>
      <w:r>
        <w:t xml:space="preserve"> </w:t>
      </w:r>
      <w:r w:rsidRPr="006845BF">
        <w:rPr>
          <w:i/>
        </w:rPr>
        <w:t>Economic Development and Cultural Change</w:t>
      </w:r>
      <w:r>
        <w:t>, 59 (4), 777-810.</w:t>
      </w:r>
    </w:p>
    <w:p w:rsidR="008A2364" w:rsidRDefault="008A2364" w:rsidP="008A2364">
      <w:pPr>
        <w:spacing w:line="480" w:lineRule="auto"/>
        <w:ind w:left="720" w:hanging="720"/>
        <w:jc w:val="both"/>
      </w:pPr>
      <w:proofErr w:type="spellStart"/>
      <w:r>
        <w:t>Akresh</w:t>
      </w:r>
      <w:proofErr w:type="spellEnd"/>
      <w:r>
        <w:t xml:space="preserve">, R. &amp; de </w:t>
      </w:r>
      <w:proofErr w:type="spellStart"/>
      <w:r>
        <w:t>Walque</w:t>
      </w:r>
      <w:proofErr w:type="spellEnd"/>
      <w:r>
        <w:t xml:space="preserve">, D. (2008) Armed Conflict and Schooling: Evidence from the 1994 Rwandan Genocide. </w:t>
      </w:r>
      <w:proofErr w:type="spellStart"/>
      <w:proofErr w:type="gramStart"/>
      <w:r>
        <w:t>HiCN</w:t>
      </w:r>
      <w:proofErr w:type="spellEnd"/>
      <w:r>
        <w:t xml:space="preserve"> Working Papers 47.</w:t>
      </w:r>
      <w:proofErr w:type="gramEnd"/>
      <w:r>
        <w:t xml:space="preserve"> </w:t>
      </w:r>
      <w:proofErr w:type="gramStart"/>
      <w:r>
        <w:t>Households in Conflict Network.</w:t>
      </w:r>
      <w:proofErr w:type="gramEnd"/>
    </w:p>
    <w:p w:rsidR="008A2364" w:rsidRPr="003555E1" w:rsidRDefault="008A2364" w:rsidP="008A2364">
      <w:pPr>
        <w:spacing w:line="480" w:lineRule="auto"/>
        <w:ind w:left="720" w:hanging="720"/>
        <w:jc w:val="both"/>
      </w:pPr>
      <w:proofErr w:type="gramStart"/>
      <w:r>
        <w:t xml:space="preserve">Alderman, H., </w:t>
      </w:r>
      <w:proofErr w:type="spellStart"/>
      <w:r>
        <w:t>Hoddinott</w:t>
      </w:r>
      <w:proofErr w:type="spellEnd"/>
      <w:r>
        <w:t>, J. &amp; Kinsey, B. (</w:t>
      </w:r>
      <w:r w:rsidRPr="003555E1">
        <w:t>2006</w:t>
      </w:r>
      <w:r>
        <w:t>).</w:t>
      </w:r>
      <w:proofErr w:type="gramEnd"/>
      <w:r>
        <w:t xml:space="preserve"> </w:t>
      </w:r>
      <w:proofErr w:type="gramStart"/>
      <w:r>
        <w:t>Long term consequences of early childhood malnutrition.</w:t>
      </w:r>
      <w:proofErr w:type="gramEnd"/>
      <w:r>
        <w:t xml:space="preserve"> </w:t>
      </w:r>
      <w:r w:rsidRPr="006845BF">
        <w:rPr>
          <w:i/>
        </w:rPr>
        <w:t>Oxford Economic Papers</w:t>
      </w:r>
      <w:r>
        <w:t>, 58, 450-474.</w:t>
      </w:r>
      <w:r w:rsidRPr="003555E1">
        <w:t xml:space="preserve"> </w:t>
      </w:r>
    </w:p>
    <w:p w:rsidR="008A2364" w:rsidRPr="0040093D" w:rsidRDefault="008A2364" w:rsidP="008A2364">
      <w:pPr>
        <w:spacing w:line="480" w:lineRule="auto"/>
        <w:ind w:left="720" w:hanging="720"/>
        <w:jc w:val="both"/>
      </w:pPr>
      <w:proofErr w:type="gramStart"/>
      <w:r w:rsidRPr="0040093D">
        <w:t xml:space="preserve">Bauer, T. K., Braun, S. &amp; </w:t>
      </w:r>
      <w:proofErr w:type="spellStart"/>
      <w:r w:rsidRPr="0040093D">
        <w:t>Kvasnick</w:t>
      </w:r>
      <w:r>
        <w:t>a</w:t>
      </w:r>
      <w:proofErr w:type="spellEnd"/>
      <w:r>
        <w:t>, M. (</w:t>
      </w:r>
      <w:r w:rsidRPr="0040093D">
        <w:t>2013</w:t>
      </w:r>
      <w:r>
        <w:t>).</w:t>
      </w:r>
      <w:proofErr w:type="gramEnd"/>
      <w:r>
        <w:t xml:space="preserve"> The Economic Integration of Forced Migrants: Evidence for Post-War Germany. </w:t>
      </w:r>
      <w:proofErr w:type="gramStart"/>
      <w:r w:rsidRPr="0040093D">
        <w:rPr>
          <w:i/>
        </w:rPr>
        <w:t>The Economic Journal</w:t>
      </w:r>
      <w:r>
        <w:t>, 123, 998-1024.</w:t>
      </w:r>
      <w:proofErr w:type="gramEnd"/>
      <w:r w:rsidRPr="0040093D">
        <w:t xml:space="preserve"> </w:t>
      </w:r>
    </w:p>
    <w:p w:rsidR="008A2364" w:rsidRDefault="008A2364" w:rsidP="008A2364">
      <w:pPr>
        <w:spacing w:line="480" w:lineRule="auto"/>
        <w:ind w:left="720" w:hanging="720"/>
        <w:jc w:val="both"/>
      </w:pPr>
      <w:proofErr w:type="spellStart"/>
      <w:proofErr w:type="gramStart"/>
      <w:r w:rsidRPr="004A0839">
        <w:t>Blattman</w:t>
      </w:r>
      <w:proofErr w:type="spellEnd"/>
      <w:r>
        <w:t>, C.</w:t>
      </w:r>
      <w:r w:rsidRPr="004A0839">
        <w:t xml:space="preserve"> </w:t>
      </w:r>
      <w:r>
        <w:t xml:space="preserve">&amp; </w:t>
      </w:r>
      <w:r w:rsidRPr="004A0839">
        <w:t>Annan</w:t>
      </w:r>
      <w:r>
        <w:t>, J.</w:t>
      </w:r>
      <w:r w:rsidRPr="004A0839">
        <w:t xml:space="preserve"> </w:t>
      </w:r>
      <w:r>
        <w:t>(</w:t>
      </w:r>
      <w:r w:rsidRPr="004A0839">
        <w:t>2010</w:t>
      </w:r>
      <w:r>
        <w:t>).</w:t>
      </w:r>
      <w:proofErr w:type="gramEnd"/>
      <w:r>
        <w:t xml:space="preserve"> </w:t>
      </w:r>
      <w:proofErr w:type="gramStart"/>
      <w:r>
        <w:t>The Consequence of Child Soldering.</w:t>
      </w:r>
      <w:proofErr w:type="gramEnd"/>
      <w:r>
        <w:t xml:space="preserve"> </w:t>
      </w:r>
      <w:r>
        <w:rPr>
          <w:i/>
        </w:rPr>
        <w:t>Review of Economics and Statistics</w:t>
      </w:r>
      <w:r>
        <w:t xml:space="preserve">, 92 (4), 882-898. </w:t>
      </w:r>
    </w:p>
    <w:p w:rsidR="008A2364" w:rsidRPr="0040093D" w:rsidRDefault="008A2364" w:rsidP="008A2364">
      <w:pPr>
        <w:spacing w:line="480" w:lineRule="auto"/>
        <w:ind w:left="720" w:hanging="720"/>
        <w:jc w:val="both"/>
      </w:pPr>
      <w:proofErr w:type="spellStart"/>
      <w:proofErr w:type="gramStart"/>
      <w:r w:rsidRPr="0077150D">
        <w:t>Blattman</w:t>
      </w:r>
      <w:proofErr w:type="spellEnd"/>
      <w:r>
        <w:t>, C. &amp;</w:t>
      </w:r>
      <w:r w:rsidRPr="0077150D">
        <w:t xml:space="preserve"> Miguel</w:t>
      </w:r>
      <w:r>
        <w:t>, T. (</w:t>
      </w:r>
      <w:r w:rsidRPr="0077150D">
        <w:t>2010</w:t>
      </w:r>
      <w:r>
        <w:t>).</w:t>
      </w:r>
      <w:proofErr w:type="gramEnd"/>
      <w:r>
        <w:t xml:space="preserve"> </w:t>
      </w:r>
      <w:proofErr w:type="gramStart"/>
      <w:r>
        <w:t>Civil War.</w:t>
      </w:r>
      <w:proofErr w:type="gramEnd"/>
      <w:r>
        <w:t xml:space="preserve"> </w:t>
      </w:r>
      <w:r>
        <w:rPr>
          <w:i/>
        </w:rPr>
        <w:t>Journal of Economic Literature</w:t>
      </w:r>
      <w:r>
        <w:t xml:space="preserve">, 48 (1), 3-57. </w:t>
      </w:r>
    </w:p>
    <w:p w:rsidR="008A2364" w:rsidRPr="0091240A" w:rsidRDefault="008A2364" w:rsidP="008A2364">
      <w:pPr>
        <w:spacing w:line="480" w:lineRule="auto"/>
        <w:ind w:left="720" w:hanging="720"/>
        <w:jc w:val="both"/>
      </w:pPr>
      <w:r w:rsidRPr="009318BB">
        <w:rPr>
          <w:lang w:val="nl-NL"/>
        </w:rPr>
        <w:t xml:space="preserve">Brakman, S., Garretsen, H. &amp; Schramm, M. (2004). </w:t>
      </w:r>
      <w:r>
        <w:t xml:space="preserve">The Strategic Bombing of German Cities </w:t>
      </w:r>
      <w:proofErr w:type="gramStart"/>
      <w:r>
        <w:t>During</w:t>
      </w:r>
      <w:proofErr w:type="gramEnd"/>
      <w:r>
        <w:t xml:space="preserve"> Work War II and Its Impact on City Growth. </w:t>
      </w:r>
      <w:r>
        <w:rPr>
          <w:i/>
        </w:rPr>
        <w:t>Journal of Economic Geography</w:t>
      </w:r>
      <w:r>
        <w:t>, 4 (2), 201-218.</w:t>
      </w:r>
    </w:p>
    <w:p w:rsidR="008A2364" w:rsidRDefault="008A2364" w:rsidP="008A2364">
      <w:pPr>
        <w:spacing w:line="480" w:lineRule="auto"/>
        <w:ind w:left="720" w:hanging="720"/>
        <w:jc w:val="both"/>
      </w:pPr>
      <w:proofErr w:type="gramStart"/>
      <w:r>
        <w:t>Brookings Institution (2013).</w:t>
      </w:r>
      <w:proofErr w:type="gramEnd"/>
      <w:r>
        <w:t xml:space="preserve"> Under the Radar: Internally Displaced Persons in Non-Camp Settings. </w:t>
      </w:r>
      <w:proofErr w:type="gramStart"/>
      <w:r>
        <w:t>Brookings-LSE Project on Internal Displacement.</w:t>
      </w:r>
      <w:proofErr w:type="gramEnd"/>
      <w:r>
        <w:t xml:space="preserve"> Washington, DC: The Brookings Institution.</w:t>
      </w:r>
    </w:p>
    <w:p w:rsidR="008A2364" w:rsidRPr="00AD593A" w:rsidRDefault="008A2364" w:rsidP="008A2364">
      <w:pPr>
        <w:spacing w:line="480" w:lineRule="auto"/>
        <w:ind w:left="720" w:hanging="720"/>
        <w:jc w:val="both"/>
      </w:pPr>
      <w:r w:rsidRPr="00EF742D">
        <w:rPr>
          <w:lang w:val="nl-BE"/>
        </w:rPr>
        <w:t xml:space="preserve">Bundervoet, T., Verwimp, P. &amp; Akresh, R. (2008). </w:t>
      </w:r>
      <w:proofErr w:type="gramStart"/>
      <w:r>
        <w:t>Health and Civil War in Rural Burundi.</w:t>
      </w:r>
      <w:proofErr w:type="gramEnd"/>
      <w:r>
        <w:t xml:space="preserve"> </w:t>
      </w:r>
      <w:r>
        <w:rPr>
          <w:i/>
        </w:rPr>
        <w:t>The Journal of Human Resources</w:t>
      </w:r>
      <w:r>
        <w:t>, 44 (2), 536-563.</w:t>
      </w:r>
      <w:r w:rsidRPr="00AD593A">
        <w:t xml:space="preserve"> </w:t>
      </w:r>
    </w:p>
    <w:p w:rsidR="008A2364" w:rsidRPr="00AD593A" w:rsidRDefault="008A2364" w:rsidP="008A2364">
      <w:pPr>
        <w:spacing w:line="480" w:lineRule="auto"/>
        <w:ind w:left="720" w:hanging="720"/>
        <w:jc w:val="both"/>
      </w:pPr>
      <w:proofErr w:type="spellStart"/>
      <w:proofErr w:type="gramStart"/>
      <w:r w:rsidRPr="00557435">
        <w:t>Cerra</w:t>
      </w:r>
      <w:proofErr w:type="spellEnd"/>
      <w:r w:rsidRPr="00557435">
        <w:t xml:space="preserve">, V. &amp; </w:t>
      </w:r>
      <w:proofErr w:type="spellStart"/>
      <w:r w:rsidRPr="00557435">
        <w:t>Saxena</w:t>
      </w:r>
      <w:proofErr w:type="spellEnd"/>
      <w:r w:rsidRPr="00557435">
        <w:t>, S. C. (2008).</w:t>
      </w:r>
      <w:proofErr w:type="gramEnd"/>
      <w:r w:rsidRPr="00557435">
        <w:t xml:space="preserve"> </w:t>
      </w:r>
      <w:r w:rsidRPr="00AD593A">
        <w:t xml:space="preserve">Growth Dynamics: The Myth of Economic Recovery. </w:t>
      </w:r>
      <w:r>
        <w:rPr>
          <w:i/>
        </w:rPr>
        <w:t>American Economic Review</w:t>
      </w:r>
      <w:r>
        <w:t>, 98 (1), 439-457.</w:t>
      </w:r>
    </w:p>
    <w:p w:rsidR="008A2364" w:rsidRPr="00AD593A" w:rsidRDefault="008A2364" w:rsidP="008A2364">
      <w:pPr>
        <w:spacing w:line="480" w:lineRule="auto"/>
        <w:ind w:left="720" w:hanging="720"/>
        <w:jc w:val="both"/>
      </w:pPr>
      <w:proofErr w:type="spellStart"/>
      <w:proofErr w:type="gramStart"/>
      <w:r w:rsidRPr="00557435">
        <w:lastRenderedPageBreak/>
        <w:t>Chamabargwala</w:t>
      </w:r>
      <w:proofErr w:type="spellEnd"/>
      <w:r w:rsidRPr="00557435">
        <w:t>, R. &amp; Moran, H. E. (2009).</w:t>
      </w:r>
      <w:proofErr w:type="gramEnd"/>
      <w:r w:rsidRPr="00557435">
        <w:t xml:space="preserve"> </w:t>
      </w:r>
      <w:r w:rsidRPr="00AD593A">
        <w:t>The human capital consequences of civil war: Evidence from Guatemala.</w:t>
      </w:r>
      <w:r>
        <w:t xml:space="preserve"> </w:t>
      </w:r>
      <w:r>
        <w:rPr>
          <w:i/>
        </w:rPr>
        <w:t>The Journal of Development Economics</w:t>
      </w:r>
      <w:r>
        <w:t>, 94 (1), 41-61.</w:t>
      </w:r>
      <w:r w:rsidRPr="00AD593A">
        <w:t xml:space="preserve"> </w:t>
      </w:r>
    </w:p>
    <w:p w:rsidR="008A2364" w:rsidRPr="00AD593A" w:rsidRDefault="008A2364" w:rsidP="008A2364">
      <w:pPr>
        <w:spacing w:line="480" w:lineRule="auto"/>
        <w:ind w:left="720" w:hanging="720"/>
        <w:jc w:val="both"/>
      </w:pPr>
      <w:proofErr w:type="gramStart"/>
      <w:r w:rsidRPr="00B07FDD">
        <w:t>Chen</w:t>
      </w:r>
      <w:r>
        <w:t xml:space="preserve">, S., </w:t>
      </w:r>
      <w:proofErr w:type="spellStart"/>
      <w:r>
        <w:t>Loayza</w:t>
      </w:r>
      <w:proofErr w:type="spellEnd"/>
      <w:r>
        <w:t xml:space="preserve">, N. V. &amp; </w:t>
      </w:r>
      <w:proofErr w:type="spellStart"/>
      <w:r>
        <w:t>Reynal-Querol</w:t>
      </w:r>
      <w:proofErr w:type="spellEnd"/>
      <w:r>
        <w:t>, M. (</w:t>
      </w:r>
      <w:r w:rsidRPr="00B07FDD">
        <w:t>2008</w:t>
      </w:r>
      <w:r>
        <w:t>).</w:t>
      </w:r>
      <w:proofErr w:type="gramEnd"/>
      <w:r>
        <w:t xml:space="preserve"> </w:t>
      </w:r>
      <w:proofErr w:type="gramStart"/>
      <w:r>
        <w:t>The Aftermath of Civil War.</w:t>
      </w:r>
      <w:proofErr w:type="gramEnd"/>
      <w:r>
        <w:t xml:space="preserve"> </w:t>
      </w:r>
      <w:r w:rsidRPr="00B07FDD">
        <w:rPr>
          <w:i/>
        </w:rPr>
        <w:t>World Bank Economic Review</w:t>
      </w:r>
      <w:r>
        <w:t>, 22 (1), 63-85.</w:t>
      </w:r>
    </w:p>
    <w:p w:rsidR="008A2364" w:rsidRDefault="008A2364" w:rsidP="008A2364">
      <w:pPr>
        <w:spacing w:line="480" w:lineRule="auto"/>
        <w:ind w:left="720" w:hanging="720"/>
        <w:jc w:val="both"/>
      </w:pPr>
      <w:r w:rsidRPr="00601108">
        <w:t xml:space="preserve">CSO (Central Statistics Organization) (2014) ‘National Risk and Vulnerability Assessment 2011-2012. </w:t>
      </w:r>
      <w:proofErr w:type="gramStart"/>
      <w:r w:rsidRPr="00601108">
        <w:t>Afghanistan Living Conditions Survey’.</w:t>
      </w:r>
      <w:proofErr w:type="gramEnd"/>
      <w:r w:rsidRPr="00601108">
        <w:t xml:space="preserve"> Kabul: CSO.</w:t>
      </w:r>
      <w:r>
        <w:t xml:space="preserve"> </w:t>
      </w:r>
    </w:p>
    <w:p w:rsidR="008A2364" w:rsidRPr="00D322B4" w:rsidRDefault="008A2364" w:rsidP="008A2364">
      <w:pPr>
        <w:spacing w:line="480" w:lineRule="auto"/>
        <w:ind w:left="720" w:hanging="720"/>
        <w:jc w:val="both"/>
      </w:pPr>
      <w:r w:rsidRPr="00AD593A">
        <w:t>Davis</w:t>
      </w:r>
      <w:r>
        <w:t>, D. R.</w:t>
      </w:r>
      <w:r w:rsidRPr="00AD593A">
        <w:t xml:space="preserve"> </w:t>
      </w:r>
      <w:r>
        <w:t xml:space="preserve">&amp; </w:t>
      </w:r>
      <w:r w:rsidRPr="00AD593A">
        <w:t>Weinstein,</w:t>
      </w:r>
      <w:r>
        <w:t xml:space="preserve"> D. E.</w:t>
      </w:r>
      <w:r w:rsidRPr="00AD593A">
        <w:t xml:space="preserve"> </w:t>
      </w:r>
      <w:r>
        <w:t>(</w:t>
      </w:r>
      <w:r w:rsidRPr="00AD593A">
        <w:t>2002</w:t>
      </w:r>
      <w:r>
        <w:t xml:space="preserve">). Bones, Bombs, and Break Points: The Geography of Economic Activity. </w:t>
      </w:r>
      <w:r>
        <w:rPr>
          <w:i/>
        </w:rPr>
        <w:t>American Economic Review</w:t>
      </w:r>
      <w:r>
        <w:t>, 92 (5), 1269-1289.</w:t>
      </w:r>
    </w:p>
    <w:p w:rsidR="008A2364" w:rsidRPr="00AD593A" w:rsidRDefault="008A2364" w:rsidP="008A2364">
      <w:pPr>
        <w:spacing w:line="480" w:lineRule="auto"/>
        <w:ind w:left="720" w:hanging="720"/>
        <w:jc w:val="both"/>
      </w:pPr>
      <w:proofErr w:type="gramStart"/>
      <w:r w:rsidRPr="00AD593A">
        <w:t>Dell</w:t>
      </w:r>
      <w:r>
        <w:t>, M.</w:t>
      </w:r>
      <w:r w:rsidRPr="00AD593A">
        <w:t xml:space="preserve"> (2012)</w:t>
      </w:r>
      <w:r>
        <w:t>.</w:t>
      </w:r>
      <w:proofErr w:type="gramEnd"/>
      <w:r>
        <w:t xml:space="preserve"> Path Dependence in Development: Evidence from the Mexican Revolution. </w:t>
      </w:r>
      <w:proofErr w:type="gramStart"/>
      <w:r>
        <w:t>Working Paper.</w:t>
      </w:r>
      <w:proofErr w:type="gramEnd"/>
      <w:r>
        <w:t xml:space="preserve"> </w:t>
      </w:r>
      <w:proofErr w:type="gramStart"/>
      <w:r>
        <w:t>Department of Economics, Harvard University.</w:t>
      </w:r>
      <w:proofErr w:type="gramEnd"/>
      <w:r>
        <w:t xml:space="preserve"> </w:t>
      </w:r>
    </w:p>
    <w:p w:rsidR="008A2364" w:rsidRDefault="008A2364" w:rsidP="008A2364">
      <w:pPr>
        <w:spacing w:line="480" w:lineRule="auto"/>
        <w:ind w:left="720" w:hanging="720"/>
        <w:jc w:val="both"/>
      </w:pPr>
      <w:r w:rsidRPr="00AD593A">
        <w:t>E</w:t>
      </w:r>
      <w:r w:rsidRPr="004A0839">
        <w:t>der</w:t>
      </w:r>
      <w:r>
        <w:t>, C.</w:t>
      </w:r>
      <w:r w:rsidRPr="004A0839">
        <w:t xml:space="preserve"> </w:t>
      </w:r>
      <w:r>
        <w:t>(</w:t>
      </w:r>
      <w:r w:rsidRPr="004A0839">
        <w:t>2013</w:t>
      </w:r>
      <w:r>
        <w:t xml:space="preserve">). Displacement and Education of the Next Generation: Evidence from Bosnia and Herzegovina. </w:t>
      </w:r>
      <w:proofErr w:type="spellStart"/>
      <w:proofErr w:type="gramStart"/>
      <w:r>
        <w:t>HiCN</w:t>
      </w:r>
      <w:proofErr w:type="spellEnd"/>
      <w:r>
        <w:t xml:space="preserve"> Working Paper 152.</w:t>
      </w:r>
      <w:proofErr w:type="gramEnd"/>
      <w:r>
        <w:t xml:space="preserve"> </w:t>
      </w:r>
      <w:proofErr w:type="gramStart"/>
      <w:r>
        <w:t>Households in Conflict Network.</w:t>
      </w:r>
      <w:proofErr w:type="gramEnd"/>
      <w:r>
        <w:t xml:space="preserve"> </w:t>
      </w:r>
    </w:p>
    <w:p w:rsidR="008A2364" w:rsidRDefault="008A2364" w:rsidP="008A2364">
      <w:pPr>
        <w:spacing w:line="480" w:lineRule="auto"/>
        <w:ind w:left="720" w:hanging="720"/>
        <w:jc w:val="both"/>
      </w:pPr>
      <w:proofErr w:type="spellStart"/>
      <w:r>
        <w:t>Fiala</w:t>
      </w:r>
      <w:proofErr w:type="spellEnd"/>
      <w:r>
        <w:t xml:space="preserve">, N. (2009). </w:t>
      </w:r>
      <w:proofErr w:type="gramStart"/>
      <w:r>
        <w:t>The Consequences of Forced Displacement in Northern Uganda.</w:t>
      </w:r>
      <w:proofErr w:type="gramEnd"/>
      <w:r>
        <w:t xml:space="preserve"> </w:t>
      </w:r>
      <w:proofErr w:type="spellStart"/>
      <w:proofErr w:type="gramStart"/>
      <w:r>
        <w:t>HiCN</w:t>
      </w:r>
      <w:proofErr w:type="spellEnd"/>
      <w:r>
        <w:t xml:space="preserve"> Working Paper 65.</w:t>
      </w:r>
      <w:proofErr w:type="gramEnd"/>
      <w:r>
        <w:t xml:space="preserve"> </w:t>
      </w:r>
      <w:proofErr w:type="gramStart"/>
      <w:r>
        <w:t>Households in Conflict Network.</w:t>
      </w:r>
      <w:proofErr w:type="gramEnd"/>
      <w:r>
        <w:t xml:space="preserve"> </w:t>
      </w:r>
    </w:p>
    <w:p w:rsidR="008A2364" w:rsidRDefault="008A2364" w:rsidP="008A2364">
      <w:pPr>
        <w:spacing w:line="480" w:lineRule="auto"/>
        <w:ind w:left="720" w:hanging="720"/>
        <w:jc w:val="both"/>
      </w:pPr>
      <w:proofErr w:type="spellStart"/>
      <w:r>
        <w:t>Fiala</w:t>
      </w:r>
      <w:proofErr w:type="spellEnd"/>
      <w:r>
        <w:t>,</w:t>
      </w:r>
      <w:r w:rsidR="00F30977">
        <w:t xml:space="preserve"> </w:t>
      </w:r>
      <w:r>
        <w:t xml:space="preserve">N. (2012). </w:t>
      </w:r>
      <w:proofErr w:type="gramStart"/>
      <w:r>
        <w:t>The Economic Consequences of Forced Displacement.</w:t>
      </w:r>
      <w:proofErr w:type="gramEnd"/>
      <w:r>
        <w:t xml:space="preserve"> </w:t>
      </w:r>
      <w:proofErr w:type="spellStart"/>
      <w:proofErr w:type="gramStart"/>
      <w:r>
        <w:t>HiCN</w:t>
      </w:r>
      <w:proofErr w:type="spellEnd"/>
      <w:r>
        <w:t xml:space="preserve"> Working Paper 137.</w:t>
      </w:r>
      <w:proofErr w:type="gramEnd"/>
      <w:r>
        <w:t xml:space="preserve"> </w:t>
      </w:r>
      <w:proofErr w:type="gramStart"/>
      <w:r>
        <w:t>Households in Conflict Network.</w:t>
      </w:r>
      <w:proofErr w:type="gramEnd"/>
      <w:r>
        <w:t xml:space="preserve"> </w:t>
      </w:r>
    </w:p>
    <w:p w:rsidR="008A2364" w:rsidRDefault="008A2364" w:rsidP="008A2364">
      <w:pPr>
        <w:spacing w:line="480" w:lineRule="auto"/>
        <w:ind w:left="720" w:hanging="720"/>
        <w:jc w:val="both"/>
      </w:pPr>
      <w:proofErr w:type="gramStart"/>
      <w:r w:rsidRPr="00146345">
        <w:t>Human Rights Watch</w:t>
      </w:r>
      <w:r>
        <w:t xml:space="preserve"> (2007).</w:t>
      </w:r>
      <w:proofErr w:type="gramEnd"/>
      <w:r>
        <w:t xml:space="preserve"> The Human Cost: The Consequences of Insurgent Attacks in Afghanistan. </w:t>
      </w:r>
      <w:proofErr w:type="gramStart"/>
      <w:r>
        <w:t>Volume 19, No. 6(C).</w:t>
      </w:r>
      <w:proofErr w:type="gramEnd"/>
      <w:r>
        <w:t xml:space="preserve"> New York: Human Rights Watch.</w:t>
      </w:r>
    </w:p>
    <w:p w:rsidR="008A2364" w:rsidRPr="00AD593A" w:rsidRDefault="008A2364" w:rsidP="008A2364">
      <w:pPr>
        <w:spacing w:line="480" w:lineRule="auto"/>
        <w:ind w:left="720" w:hanging="720"/>
        <w:jc w:val="both"/>
      </w:pPr>
      <w:proofErr w:type="gramStart"/>
      <w:r>
        <w:t>Internal Displacement Monitoring Centre</w:t>
      </w:r>
      <w:r w:rsidRPr="00AD593A">
        <w:t xml:space="preserve"> </w:t>
      </w:r>
      <w:r>
        <w:t>(IDMC) (</w:t>
      </w:r>
      <w:r w:rsidRPr="00AD593A">
        <w:t>2014</w:t>
      </w:r>
      <w:r>
        <w:t>).</w:t>
      </w:r>
      <w:proofErr w:type="gramEnd"/>
      <w:r>
        <w:t xml:space="preserve"> Global Overview 2014: People internally displaced by conflict and violence. Geneva: Internal Displacement Monitoring Centre.</w:t>
      </w:r>
    </w:p>
    <w:p w:rsidR="008A2364" w:rsidRPr="00AD593A" w:rsidRDefault="008A2364" w:rsidP="008A2364">
      <w:pPr>
        <w:spacing w:line="480" w:lineRule="auto"/>
        <w:ind w:left="720" w:hanging="720"/>
        <w:jc w:val="both"/>
      </w:pPr>
      <w:proofErr w:type="gramStart"/>
      <w:r>
        <w:t>International Committee of the Red Cross (ICRC)</w:t>
      </w:r>
      <w:r w:rsidRPr="00AD593A">
        <w:t xml:space="preserve"> </w:t>
      </w:r>
      <w:r>
        <w:t>(</w:t>
      </w:r>
      <w:r w:rsidRPr="00AD593A">
        <w:t>2009</w:t>
      </w:r>
      <w:r>
        <w:t>).</w:t>
      </w:r>
      <w:proofErr w:type="gramEnd"/>
      <w:r>
        <w:t xml:space="preserve"> Afghanistan: Opinion Survey and In-Depth Research, 2009. Geneva: International Committee of the Red Cross.</w:t>
      </w:r>
    </w:p>
    <w:p w:rsidR="008A2364" w:rsidRPr="00AD593A" w:rsidRDefault="008A2364" w:rsidP="008A2364">
      <w:pPr>
        <w:spacing w:line="480" w:lineRule="auto"/>
        <w:ind w:left="720" w:hanging="720"/>
        <w:jc w:val="both"/>
      </w:pPr>
      <w:proofErr w:type="spellStart"/>
      <w:proofErr w:type="gramStart"/>
      <w:r w:rsidRPr="00AD593A">
        <w:lastRenderedPageBreak/>
        <w:t>Justino</w:t>
      </w:r>
      <w:proofErr w:type="spellEnd"/>
      <w:r>
        <w:t>, P.</w:t>
      </w:r>
      <w:r w:rsidRPr="00AD593A">
        <w:t xml:space="preserve"> </w:t>
      </w:r>
      <w:r>
        <w:t>&amp;</w:t>
      </w:r>
      <w:r w:rsidR="009A478D">
        <w:t xml:space="preserve"> </w:t>
      </w:r>
      <w:proofErr w:type="spellStart"/>
      <w:r w:rsidRPr="00AD593A">
        <w:t>Verwimp</w:t>
      </w:r>
      <w:proofErr w:type="spellEnd"/>
      <w:r>
        <w:t>, P. (</w:t>
      </w:r>
      <w:r w:rsidRPr="00AD593A">
        <w:t>2006</w:t>
      </w:r>
      <w:r>
        <w:t>).</w:t>
      </w:r>
      <w:proofErr w:type="gramEnd"/>
      <w:r>
        <w:t xml:space="preserve"> </w:t>
      </w:r>
      <w:proofErr w:type="gramStart"/>
      <w:r>
        <w:t>“Poverty Dynamics, Violent Conflict and Convergence in Rwanda.</w:t>
      </w:r>
      <w:proofErr w:type="gramEnd"/>
      <w:r>
        <w:t xml:space="preserve"> </w:t>
      </w:r>
      <w:proofErr w:type="spellStart"/>
      <w:proofErr w:type="gramStart"/>
      <w:r>
        <w:t>HiCN</w:t>
      </w:r>
      <w:proofErr w:type="spellEnd"/>
      <w:r>
        <w:t xml:space="preserve"> Working Paper 16.</w:t>
      </w:r>
      <w:proofErr w:type="gramEnd"/>
      <w:r>
        <w:t xml:space="preserve"> </w:t>
      </w:r>
      <w:proofErr w:type="gramStart"/>
      <w:r>
        <w:t>Households in Conflict Network.</w:t>
      </w:r>
      <w:proofErr w:type="gramEnd"/>
    </w:p>
    <w:p w:rsidR="008A2364" w:rsidRPr="00AD593A" w:rsidRDefault="008A2364" w:rsidP="008A2364">
      <w:pPr>
        <w:spacing w:line="480" w:lineRule="auto"/>
        <w:ind w:left="720" w:hanging="720"/>
        <w:jc w:val="both"/>
      </w:pPr>
      <w:proofErr w:type="spellStart"/>
      <w:r w:rsidRPr="00AD593A">
        <w:t>Justino</w:t>
      </w:r>
      <w:proofErr w:type="spellEnd"/>
      <w:r>
        <w:t>, P.</w:t>
      </w:r>
      <w:r w:rsidRPr="00AD593A">
        <w:t xml:space="preserve"> (2011</w:t>
      </w:r>
      <w:r>
        <w:t xml:space="preserve">). </w:t>
      </w:r>
      <w:proofErr w:type="gramStart"/>
      <w:r>
        <w:t>Violence Conflict and Human Capital Accumulation.</w:t>
      </w:r>
      <w:proofErr w:type="gramEnd"/>
      <w:r>
        <w:t xml:space="preserve"> </w:t>
      </w:r>
      <w:proofErr w:type="spellStart"/>
      <w:proofErr w:type="gramStart"/>
      <w:r>
        <w:t>HiCN</w:t>
      </w:r>
      <w:proofErr w:type="spellEnd"/>
      <w:r>
        <w:t xml:space="preserve"> Working Paper 99.</w:t>
      </w:r>
      <w:proofErr w:type="gramEnd"/>
      <w:r>
        <w:t xml:space="preserve"> </w:t>
      </w:r>
      <w:proofErr w:type="gramStart"/>
      <w:r>
        <w:t>Households in Conflict Network.</w:t>
      </w:r>
      <w:proofErr w:type="gramEnd"/>
    </w:p>
    <w:p w:rsidR="008A2364" w:rsidRPr="00345A99" w:rsidRDefault="008A2364" w:rsidP="008A2364">
      <w:pPr>
        <w:spacing w:line="480" w:lineRule="auto"/>
        <w:ind w:left="720" w:hanging="720"/>
        <w:jc w:val="both"/>
      </w:pPr>
      <w:proofErr w:type="spellStart"/>
      <w:proofErr w:type="gramStart"/>
      <w:r w:rsidRPr="00BB5155">
        <w:t>Justino</w:t>
      </w:r>
      <w:proofErr w:type="spellEnd"/>
      <w:r w:rsidRPr="00BB5155">
        <w:t xml:space="preserve">, P., Leone, M. &amp; </w:t>
      </w:r>
      <w:proofErr w:type="spellStart"/>
      <w:r w:rsidRPr="00BB5155">
        <w:t>Salardi</w:t>
      </w:r>
      <w:proofErr w:type="spellEnd"/>
      <w:r w:rsidRPr="00BB5155">
        <w:t>, P. (2013).</w:t>
      </w:r>
      <w:proofErr w:type="gramEnd"/>
      <w:r w:rsidRPr="00BB5155">
        <w:t xml:space="preserve"> </w:t>
      </w:r>
      <w:r w:rsidRPr="00345A99">
        <w:t xml:space="preserve">Short- and Long-Term Impact of Violence on Education: The Case of Timor </w:t>
      </w:r>
      <w:proofErr w:type="spellStart"/>
      <w:r w:rsidRPr="00345A99">
        <w:t>Leste</w:t>
      </w:r>
      <w:proofErr w:type="spellEnd"/>
      <w:r w:rsidRPr="00345A99">
        <w:t xml:space="preserve">. </w:t>
      </w:r>
      <w:r w:rsidRPr="00345A99">
        <w:rPr>
          <w:i/>
        </w:rPr>
        <w:t>Work Bank Economic Review</w:t>
      </w:r>
      <w:r>
        <w:t>, 28 (2), 320-353.</w:t>
      </w:r>
    </w:p>
    <w:p w:rsidR="008A2364" w:rsidRDefault="008A2364" w:rsidP="008A2364">
      <w:pPr>
        <w:spacing w:line="480" w:lineRule="auto"/>
        <w:ind w:left="720" w:hanging="720"/>
        <w:jc w:val="both"/>
      </w:pPr>
      <w:proofErr w:type="spellStart"/>
      <w:proofErr w:type="gramStart"/>
      <w:r>
        <w:t>Kondylis</w:t>
      </w:r>
      <w:proofErr w:type="spellEnd"/>
      <w:r>
        <w:t>, F. (2010).</w:t>
      </w:r>
      <w:proofErr w:type="gramEnd"/>
      <w:r>
        <w:t xml:space="preserve"> Conflict displacement and labor market outcomes in post-war Bosnia and Herzegovina. </w:t>
      </w:r>
      <w:r w:rsidRPr="00EA1169">
        <w:rPr>
          <w:i/>
        </w:rPr>
        <w:t>Journal of Development Economics</w:t>
      </w:r>
      <w:r>
        <w:t>, 93, 235-248.</w:t>
      </w:r>
    </w:p>
    <w:p w:rsidR="008A2364" w:rsidRDefault="008A2364" w:rsidP="008A2364">
      <w:pPr>
        <w:spacing w:line="480" w:lineRule="auto"/>
        <w:ind w:left="720" w:hanging="720"/>
        <w:jc w:val="both"/>
      </w:pPr>
      <w:proofErr w:type="gramStart"/>
      <w:r>
        <w:t>Kuschminder, K. &amp; Dora, M. (2009).</w:t>
      </w:r>
      <w:proofErr w:type="gramEnd"/>
      <w:r>
        <w:t xml:space="preserve"> Migration in Afghanistan: History, Current Trends and Future Prospects. Paper Series: Migration and Development Country Profiles. </w:t>
      </w:r>
      <w:proofErr w:type="gramStart"/>
      <w:r>
        <w:t>Maastricht Graduate School of Governance.</w:t>
      </w:r>
      <w:proofErr w:type="gramEnd"/>
    </w:p>
    <w:p w:rsidR="008A2364" w:rsidRDefault="008A2364" w:rsidP="008A2364">
      <w:pPr>
        <w:spacing w:line="480" w:lineRule="auto"/>
        <w:ind w:left="720" w:hanging="720"/>
        <w:jc w:val="both"/>
      </w:pPr>
      <w:r>
        <w:t xml:space="preserve">Leon, G. (2012). </w:t>
      </w:r>
      <w:proofErr w:type="gramStart"/>
      <w:r>
        <w:t>Civil Conflict and Human Capital Accumulation.</w:t>
      </w:r>
      <w:proofErr w:type="gramEnd"/>
      <w:r>
        <w:t xml:space="preserve"> </w:t>
      </w:r>
      <w:r w:rsidRPr="00EA1169">
        <w:rPr>
          <w:i/>
        </w:rPr>
        <w:t>The Journal of Human Resources</w:t>
      </w:r>
      <w:r>
        <w:t xml:space="preserve">, 47 (4), 992-1022.  </w:t>
      </w:r>
    </w:p>
    <w:p w:rsidR="003A639E" w:rsidRPr="00F60E61" w:rsidRDefault="003A639E" w:rsidP="008A2364">
      <w:pPr>
        <w:spacing w:line="480" w:lineRule="auto"/>
        <w:ind w:left="720" w:hanging="720"/>
        <w:jc w:val="both"/>
      </w:pPr>
      <w:proofErr w:type="spellStart"/>
      <w:proofErr w:type="gramStart"/>
      <w:r>
        <w:t>Loescher</w:t>
      </w:r>
      <w:proofErr w:type="spellEnd"/>
      <w:r w:rsidR="00F60E61">
        <w:t>, G.</w:t>
      </w:r>
      <w:r>
        <w:t xml:space="preserve"> </w:t>
      </w:r>
      <w:r w:rsidR="00F60E61">
        <w:t xml:space="preserve">&amp; </w:t>
      </w:r>
      <w:r>
        <w:t>Milner</w:t>
      </w:r>
      <w:r w:rsidR="00F60E61">
        <w:t>, J. (2</w:t>
      </w:r>
      <w:r>
        <w:t>009</w:t>
      </w:r>
      <w:r w:rsidR="00F60E61">
        <w:t>) Understanding the Challenge.</w:t>
      </w:r>
      <w:proofErr w:type="gramEnd"/>
      <w:r w:rsidR="00F60E61">
        <w:t xml:space="preserve"> </w:t>
      </w:r>
      <w:proofErr w:type="gramStart"/>
      <w:r w:rsidR="00F60E61">
        <w:rPr>
          <w:i/>
        </w:rPr>
        <w:t>Forced Migration Review</w:t>
      </w:r>
      <w:r w:rsidR="00F60E61">
        <w:t>,</w:t>
      </w:r>
      <w:r w:rsidR="00997CBC">
        <w:t xml:space="preserve"> 33, 9-11.</w:t>
      </w:r>
      <w:proofErr w:type="gramEnd"/>
      <w:r w:rsidR="00F60E61">
        <w:t xml:space="preserve"> </w:t>
      </w:r>
    </w:p>
    <w:p w:rsidR="008A2364" w:rsidRDefault="008A2364" w:rsidP="008A2364">
      <w:pPr>
        <w:spacing w:line="480" w:lineRule="auto"/>
        <w:ind w:left="720" w:hanging="720"/>
        <w:jc w:val="both"/>
      </w:pPr>
      <w:proofErr w:type="gramStart"/>
      <w:r w:rsidRPr="00601108">
        <w:t>Maastricht Graduate School of Governance</w:t>
      </w:r>
      <w:r>
        <w:t xml:space="preserve"> (MGSoG)</w:t>
      </w:r>
      <w:r w:rsidRPr="00601108">
        <w:t xml:space="preserve"> and Samuel Hall</w:t>
      </w:r>
      <w:r>
        <w:t xml:space="preserve"> Consulting (2013).</w:t>
      </w:r>
      <w:proofErr w:type="gramEnd"/>
      <w:r>
        <w:t xml:space="preserve"> </w:t>
      </w:r>
      <w:r w:rsidRPr="00601108">
        <w:t>Evaluation of the UNHCR Shelter As</w:t>
      </w:r>
      <w:r>
        <w:t>sistance Programme: Full Report</w:t>
      </w:r>
      <w:r w:rsidRPr="00601108">
        <w:t>.</w:t>
      </w:r>
      <w:r>
        <w:t xml:space="preserve"> </w:t>
      </w:r>
      <w:proofErr w:type="gramStart"/>
      <w:r w:rsidRPr="00601108">
        <w:t>MGSoG.</w:t>
      </w:r>
      <w:proofErr w:type="gramEnd"/>
    </w:p>
    <w:p w:rsidR="008A2364" w:rsidRPr="00684A19" w:rsidRDefault="008A2364" w:rsidP="008A2364">
      <w:pPr>
        <w:spacing w:line="480" w:lineRule="auto"/>
        <w:ind w:left="720" w:hanging="720"/>
        <w:jc w:val="both"/>
      </w:pPr>
      <w:proofErr w:type="gramStart"/>
      <w:r>
        <w:t>Miguel, E. &amp; Roland, G. (2011).</w:t>
      </w:r>
      <w:proofErr w:type="gramEnd"/>
      <w:r>
        <w:t xml:space="preserve"> </w:t>
      </w:r>
      <w:proofErr w:type="gramStart"/>
      <w:r>
        <w:t>The long-run impact of bombing Vietnam.</w:t>
      </w:r>
      <w:proofErr w:type="gramEnd"/>
      <w:r>
        <w:t xml:space="preserve"> </w:t>
      </w:r>
      <w:r w:rsidRPr="00684A19">
        <w:rPr>
          <w:i/>
        </w:rPr>
        <w:t>J</w:t>
      </w:r>
      <w:r>
        <w:t>o</w:t>
      </w:r>
      <w:r>
        <w:rPr>
          <w:i/>
        </w:rPr>
        <w:t>urnal of Development Economics</w:t>
      </w:r>
      <w:r>
        <w:t>, 96, 1-15.</w:t>
      </w:r>
    </w:p>
    <w:p w:rsidR="008A2364" w:rsidRPr="00EA1169" w:rsidRDefault="008A2364" w:rsidP="008A2364">
      <w:pPr>
        <w:spacing w:line="480" w:lineRule="auto"/>
        <w:ind w:left="720" w:hanging="720"/>
        <w:jc w:val="both"/>
      </w:pPr>
      <w:r w:rsidRPr="00684A19">
        <w:t xml:space="preserve">Miguel, E., </w:t>
      </w:r>
      <w:proofErr w:type="spellStart"/>
      <w:r w:rsidRPr="00684A19">
        <w:t>Saiegh</w:t>
      </w:r>
      <w:proofErr w:type="spellEnd"/>
      <w:r w:rsidRPr="00684A19">
        <w:t xml:space="preserve">, S. M. &amp; </w:t>
      </w:r>
      <w:proofErr w:type="spellStart"/>
      <w:r w:rsidRPr="00684A19">
        <w:t>Satyanath</w:t>
      </w:r>
      <w:proofErr w:type="spellEnd"/>
      <w:r w:rsidRPr="00684A19">
        <w:t xml:space="preserve">, S. </w:t>
      </w:r>
      <w:r>
        <w:t>(2011</w:t>
      </w:r>
      <w:r w:rsidRPr="00EA1169">
        <w:t>)</w:t>
      </w:r>
      <w:r>
        <w:t xml:space="preserve">. </w:t>
      </w:r>
      <w:proofErr w:type="gramStart"/>
      <w:r>
        <w:t>Civil War Exposure and Violence.</w:t>
      </w:r>
      <w:proofErr w:type="gramEnd"/>
      <w:r>
        <w:t xml:space="preserve"> </w:t>
      </w:r>
      <w:r>
        <w:rPr>
          <w:i/>
        </w:rPr>
        <w:t>Economics &amp; Politics</w:t>
      </w:r>
      <w:r>
        <w:t>, 23 (1), 59-73.</w:t>
      </w:r>
      <w:r>
        <w:rPr>
          <w:i/>
        </w:rPr>
        <w:t xml:space="preserve"> </w:t>
      </w:r>
      <w:r>
        <w:t xml:space="preserve"> </w:t>
      </w:r>
    </w:p>
    <w:p w:rsidR="008A2364" w:rsidRPr="00684A19" w:rsidRDefault="008A2364" w:rsidP="008A2364">
      <w:pPr>
        <w:spacing w:line="480" w:lineRule="auto"/>
        <w:ind w:left="720" w:hanging="720"/>
        <w:jc w:val="both"/>
      </w:pPr>
      <w:proofErr w:type="spellStart"/>
      <w:proofErr w:type="gramStart"/>
      <w:r>
        <w:t>Minoiu</w:t>
      </w:r>
      <w:proofErr w:type="spellEnd"/>
      <w:r>
        <w:t xml:space="preserve">, C. &amp; </w:t>
      </w:r>
      <w:proofErr w:type="spellStart"/>
      <w:r>
        <w:t>Shemyakina</w:t>
      </w:r>
      <w:proofErr w:type="spellEnd"/>
      <w:r>
        <w:t>, O. N. (2014).</w:t>
      </w:r>
      <w:proofErr w:type="gramEnd"/>
      <w:r>
        <w:t xml:space="preserve"> </w:t>
      </w:r>
      <w:proofErr w:type="gramStart"/>
      <w:r>
        <w:t>Armed Conflict, Household Victimization, and Child Health in Cote d’Ivoire.</w:t>
      </w:r>
      <w:proofErr w:type="gramEnd"/>
      <w:r>
        <w:t xml:space="preserve"> </w:t>
      </w:r>
      <w:r>
        <w:rPr>
          <w:i/>
        </w:rPr>
        <w:t>Journal of Development Economics</w:t>
      </w:r>
      <w:r>
        <w:t>, 108, 237-255.</w:t>
      </w:r>
    </w:p>
    <w:p w:rsidR="008A2364" w:rsidRDefault="008A2364" w:rsidP="008A2364">
      <w:pPr>
        <w:spacing w:line="480" w:lineRule="auto"/>
        <w:ind w:left="720" w:hanging="720"/>
        <w:jc w:val="both"/>
      </w:pPr>
      <w:proofErr w:type="spellStart"/>
      <w:proofErr w:type="gramStart"/>
      <w:r>
        <w:lastRenderedPageBreak/>
        <w:t>Oyelere</w:t>
      </w:r>
      <w:proofErr w:type="spellEnd"/>
      <w:r>
        <w:t>, R. U. &amp; Wharton, K. (2013).</w:t>
      </w:r>
      <w:proofErr w:type="gramEnd"/>
      <w:r>
        <w:t xml:space="preserve"> The Impact of Conflict on Education Attainment and Enrollment in Colombia: lessons from recent IDPs. </w:t>
      </w:r>
      <w:proofErr w:type="spellStart"/>
      <w:proofErr w:type="gramStart"/>
      <w:r>
        <w:t>HiCN</w:t>
      </w:r>
      <w:proofErr w:type="spellEnd"/>
      <w:r>
        <w:t xml:space="preserve"> Working Paper 141.</w:t>
      </w:r>
      <w:proofErr w:type="gramEnd"/>
      <w:r>
        <w:t xml:space="preserve"> </w:t>
      </w:r>
      <w:proofErr w:type="gramStart"/>
      <w:r>
        <w:t>Households in Conflict Network.</w:t>
      </w:r>
      <w:proofErr w:type="gramEnd"/>
    </w:p>
    <w:p w:rsidR="008A2364" w:rsidRPr="00272AF4" w:rsidRDefault="008A2364" w:rsidP="008A2364">
      <w:pPr>
        <w:spacing w:line="480" w:lineRule="auto"/>
        <w:ind w:left="720" w:hanging="720"/>
        <w:jc w:val="both"/>
      </w:pPr>
      <w:proofErr w:type="spellStart"/>
      <w:proofErr w:type="gramStart"/>
      <w:r>
        <w:t>Rosenzweig</w:t>
      </w:r>
      <w:proofErr w:type="spellEnd"/>
      <w:r>
        <w:t>, M. (2010).</w:t>
      </w:r>
      <w:proofErr w:type="gramEnd"/>
      <w:r>
        <w:t xml:space="preserve"> Microeconomic Approaches to Development: Schooling, Learning, and Growth. </w:t>
      </w:r>
      <w:r>
        <w:rPr>
          <w:i/>
        </w:rPr>
        <w:t>Journal of Economic Perspectives</w:t>
      </w:r>
      <w:r>
        <w:t>, 24 (3), 81-96.</w:t>
      </w:r>
    </w:p>
    <w:p w:rsidR="008A2364" w:rsidRPr="00A775DE" w:rsidRDefault="008A2364" w:rsidP="008A2364">
      <w:pPr>
        <w:spacing w:line="480" w:lineRule="auto"/>
        <w:ind w:left="720" w:hanging="720"/>
        <w:jc w:val="both"/>
      </w:pPr>
      <w:proofErr w:type="gramStart"/>
      <w:r w:rsidRPr="00557435">
        <w:t>Ruiz, I. &amp; Vargas-Silva, C. (2013).</w:t>
      </w:r>
      <w:proofErr w:type="gramEnd"/>
      <w:r w:rsidRPr="00557435">
        <w:t xml:space="preserve"> </w:t>
      </w:r>
      <w:proofErr w:type="gramStart"/>
      <w:r w:rsidRPr="00A775DE">
        <w:t>The Economics of Forced Migration.</w:t>
      </w:r>
      <w:proofErr w:type="gramEnd"/>
      <w:r w:rsidRPr="00A775DE">
        <w:t xml:space="preserve"> </w:t>
      </w:r>
      <w:r>
        <w:rPr>
          <w:i/>
        </w:rPr>
        <w:t>Journal of Development Studies</w:t>
      </w:r>
      <w:r>
        <w:t>, 49 (6), 772-784.</w:t>
      </w:r>
    </w:p>
    <w:p w:rsidR="008A2364" w:rsidRDefault="008A2364" w:rsidP="008A2364">
      <w:pPr>
        <w:spacing w:line="480" w:lineRule="auto"/>
        <w:ind w:left="720" w:hanging="720"/>
        <w:jc w:val="both"/>
      </w:pPr>
      <w:proofErr w:type="gramStart"/>
      <w:r>
        <w:t>Samuel Hall Consulting (2012).</w:t>
      </w:r>
      <w:proofErr w:type="gramEnd"/>
      <w:r>
        <w:t xml:space="preserve"> Challenges of IDP Protection: Research study on the protection of internally displaced persons in Afghanistan. Kabul: Samuel Hall Consulting. </w:t>
      </w:r>
    </w:p>
    <w:p w:rsidR="008A2364" w:rsidRDefault="008A2364" w:rsidP="008A2364">
      <w:pPr>
        <w:spacing w:line="480" w:lineRule="auto"/>
        <w:ind w:left="720" w:hanging="720"/>
        <w:jc w:val="both"/>
      </w:pPr>
      <w:proofErr w:type="gramStart"/>
      <w:r>
        <w:t>Samuel Hall Consulting (2014).</w:t>
      </w:r>
      <w:proofErr w:type="gramEnd"/>
      <w:r>
        <w:t xml:space="preserve"> Displacement Dynamics: IDP Movement Tracking, Needs and Vulnerability Analysis, Herat and Helmand. Kabul: Samuel Hall Consulting.</w:t>
      </w:r>
    </w:p>
    <w:p w:rsidR="008A2364" w:rsidRDefault="008A2364" w:rsidP="008A2364">
      <w:pPr>
        <w:spacing w:line="480" w:lineRule="auto"/>
        <w:ind w:left="720" w:hanging="720"/>
        <w:jc w:val="both"/>
      </w:pPr>
      <w:r w:rsidRPr="009318BB">
        <w:rPr>
          <w:lang w:val="nl-NL"/>
        </w:rPr>
        <w:t xml:space="preserve">Schmeidl, S., Mundt, A. D. &amp; Miszak, N. (2010). </w:t>
      </w:r>
      <w:r>
        <w:t xml:space="preserve">Beyond the Blanket: Towards More Effective Protection for Internally Displaced Persons in Southern Afghanistan. Brookings-Bern Project on Internal Displacement and </w:t>
      </w:r>
      <w:proofErr w:type="gramStart"/>
      <w:r>
        <w:t>The</w:t>
      </w:r>
      <w:proofErr w:type="gramEnd"/>
      <w:r>
        <w:t xml:space="preserve"> Liaison Office (TLO). Washington, DC: The Brookings Institution.</w:t>
      </w:r>
    </w:p>
    <w:p w:rsidR="008A2364" w:rsidRDefault="008A2364" w:rsidP="008A2364">
      <w:pPr>
        <w:spacing w:line="480" w:lineRule="auto"/>
        <w:ind w:left="720" w:hanging="720"/>
        <w:jc w:val="both"/>
      </w:pPr>
      <w:proofErr w:type="spellStart"/>
      <w:r>
        <w:t>Shemyakina</w:t>
      </w:r>
      <w:proofErr w:type="spellEnd"/>
      <w:r>
        <w:t xml:space="preserve">, O. (2011). The effect of armed conflict on accumulation of schooling: Results from Tajikistan. </w:t>
      </w:r>
      <w:r>
        <w:rPr>
          <w:i/>
        </w:rPr>
        <w:t>Journal of Development Economics</w:t>
      </w:r>
      <w:r>
        <w:t xml:space="preserve">, 95, 186-200. </w:t>
      </w:r>
    </w:p>
    <w:p w:rsidR="008A2364" w:rsidRDefault="008A2364" w:rsidP="008A2364">
      <w:pPr>
        <w:spacing w:line="480" w:lineRule="auto"/>
        <w:ind w:left="720" w:hanging="720"/>
        <w:jc w:val="both"/>
      </w:pPr>
      <w:proofErr w:type="spellStart"/>
      <w:r>
        <w:t>Swee</w:t>
      </w:r>
      <w:proofErr w:type="spellEnd"/>
      <w:r>
        <w:t xml:space="preserve">, E. L. (2009). On War and Schooling Attainment: The Case of Bosnia and Herzegovina. </w:t>
      </w:r>
      <w:proofErr w:type="spellStart"/>
      <w:proofErr w:type="gramStart"/>
      <w:r>
        <w:t>HiCN</w:t>
      </w:r>
      <w:proofErr w:type="spellEnd"/>
      <w:r>
        <w:t xml:space="preserve"> Working Papers 57.</w:t>
      </w:r>
      <w:proofErr w:type="gramEnd"/>
      <w:r>
        <w:t xml:space="preserve"> </w:t>
      </w:r>
      <w:proofErr w:type="gramStart"/>
      <w:r>
        <w:t>Households in Conflict Network.</w:t>
      </w:r>
      <w:proofErr w:type="gramEnd"/>
      <w:r>
        <w:t xml:space="preserve"> </w:t>
      </w:r>
    </w:p>
    <w:p w:rsidR="008A2364" w:rsidRDefault="008A2364" w:rsidP="008A2364">
      <w:pPr>
        <w:spacing w:line="480" w:lineRule="auto"/>
        <w:ind w:left="720" w:hanging="720"/>
        <w:jc w:val="both"/>
      </w:pPr>
      <w:proofErr w:type="gramStart"/>
      <w:r>
        <w:t>United Nations Commissioner for Refugees (UNHCR) (2014a).</w:t>
      </w:r>
      <w:proofErr w:type="gramEnd"/>
      <w:r>
        <w:t xml:space="preserve"> Global Trends 2013: War’s Human Cost. Geneva: UNHCR.</w:t>
      </w:r>
    </w:p>
    <w:p w:rsidR="008A2364" w:rsidRDefault="008A2364" w:rsidP="008A2364">
      <w:pPr>
        <w:spacing w:line="480" w:lineRule="auto"/>
        <w:ind w:left="720" w:hanging="720"/>
        <w:jc w:val="both"/>
      </w:pPr>
      <w:proofErr w:type="gramStart"/>
      <w:r>
        <w:t>United Nations Commissi</w:t>
      </w:r>
      <w:r w:rsidR="009A478D">
        <w:t>oner for Refugees (UNHCR) (2014b</w:t>
      </w:r>
      <w:r>
        <w:t>).</w:t>
      </w:r>
      <w:proofErr w:type="gramEnd"/>
      <w:r>
        <w:t xml:space="preserve"> </w:t>
      </w:r>
      <w:proofErr w:type="gramStart"/>
      <w:r>
        <w:t xml:space="preserve">UNHCR </w:t>
      </w:r>
      <w:r w:rsidRPr="00601108">
        <w:rPr>
          <w:color w:val="000000" w:themeColor="text1"/>
        </w:rPr>
        <w:t>Statist</w:t>
      </w:r>
      <w:r>
        <w:rPr>
          <w:color w:val="000000" w:themeColor="text1"/>
        </w:rPr>
        <w:t>ical Online Population Database</w:t>
      </w:r>
      <w:r w:rsidRPr="00601108">
        <w:rPr>
          <w:color w:val="000000" w:themeColor="text1"/>
        </w:rPr>
        <w:t>.</w:t>
      </w:r>
      <w:proofErr w:type="gramEnd"/>
      <w:r w:rsidRPr="00601108">
        <w:rPr>
          <w:color w:val="000000" w:themeColor="text1"/>
        </w:rPr>
        <w:t xml:space="preserve"> </w:t>
      </w:r>
      <w:proofErr w:type="gramStart"/>
      <w:r>
        <w:rPr>
          <w:color w:val="000000" w:themeColor="text1"/>
        </w:rPr>
        <w:t xml:space="preserve">Retrieved September 16, 2014 from </w:t>
      </w:r>
      <w:r w:rsidRPr="00601108">
        <w:rPr>
          <w:color w:val="000000" w:themeColor="text1"/>
        </w:rPr>
        <w:t>&lt;</w:t>
      </w:r>
      <w:r w:rsidRPr="00A775DE">
        <w:t xml:space="preserve"> </w:t>
      </w:r>
      <w:r w:rsidRPr="00A775DE">
        <w:rPr>
          <w:color w:val="000000" w:themeColor="text1"/>
          <w:bdr w:val="none" w:sz="0" w:space="0" w:color="auto" w:frame="1"/>
        </w:rPr>
        <w:t xml:space="preserve">http://popstats.unhcr.org/ </w:t>
      </w:r>
      <w:r>
        <w:rPr>
          <w:color w:val="000000" w:themeColor="text1"/>
        </w:rPr>
        <w:t>&gt;.</w:t>
      </w:r>
      <w:proofErr w:type="gramEnd"/>
    </w:p>
    <w:p w:rsidR="008A2364" w:rsidRPr="003555E1" w:rsidRDefault="008A2364" w:rsidP="008A2364">
      <w:pPr>
        <w:spacing w:line="480" w:lineRule="auto"/>
        <w:ind w:left="720" w:hanging="720"/>
        <w:jc w:val="both"/>
      </w:pPr>
      <w:r>
        <w:lastRenderedPageBreak/>
        <w:t>United Nations Development Program (UNDP)</w:t>
      </w:r>
      <w:r w:rsidRPr="003555E1">
        <w:t xml:space="preserve"> </w:t>
      </w:r>
      <w:r>
        <w:t>(</w:t>
      </w:r>
      <w:r w:rsidRPr="003555E1">
        <w:t>2009</w:t>
      </w:r>
      <w:r>
        <w:t>).</w:t>
      </w:r>
      <w:r w:rsidRPr="003555E1">
        <w:t xml:space="preserve"> </w:t>
      </w:r>
      <w:r>
        <w:t>Human Development Report 2009: Overcoming Barriers – Human Mobility and Development. Tokyo: United Nations Press.</w:t>
      </w:r>
    </w:p>
    <w:p w:rsidR="008A2364" w:rsidRPr="00A775DE" w:rsidRDefault="008A2364" w:rsidP="008A2364">
      <w:pPr>
        <w:spacing w:line="480" w:lineRule="auto"/>
        <w:ind w:left="720" w:hanging="720"/>
        <w:jc w:val="both"/>
      </w:pPr>
      <w:proofErr w:type="spellStart"/>
      <w:proofErr w:type="gramStart"/>
      <w:r w:rsidRPr="00557435">
        <w:t>Verwimp</w:t>
      </w:r>
      <w:proofErr w:type="spellEnd"/>
      <w:r w:rsidRPr="00557435">
        <w:t xml:space="preserve">, P. &amp; Van </w:t>
      </w:r>
      <w:proofErr w:type="spellStart"/>
      <w:r w:rsidRPr="00557435">
        <w:t>Bavel</w:t>
      </w:r>
      <w:proofErr w:type="spellEnd"/>
      <w:r w:rsidRPr="00557435">
        <w:t>, J. (2013).</w:t>
      </w:r>
      <w:proofErr w:type="gramEnd"/>
      <w:r w:rsidRPr="00557435">
        <w:t xml:space="preserve"> </w:t>
      </w:r>
      <w:proofErr w:type="gramStart"/>
      <w:r w:rsidRPr="00A775DE">
        <w:t>Schooling, Violent Conflict and Gender in Burundi.</w:t>
      </w:r>
      <w:proofErr w:type="gramEnd"/>
      <w:r>
        <w:t xml:space="preserve"> </w:t>
      </w:r>
      <w:proofErr w:type="gramStart"/>
      <w:r>
        <w:t>CEB Working Paper 043.</w:t>
      </w:r>
      <w:proofErr w:type="gramEnd"/>
      <w:r>
        <w:t xml:space="preserve"> Centre Emile </w:t>
      </w:r>
      <w:proofErr w:type="spellStart"/>
      <w:r>
        <w:t>Bernheim</w:t>
      </w:r>
      <w:proofErr w:type="spellEnd"/>
      <w:r>
        <w:t>.</w:t>
      </w:r>
    </w:p>
    <w:p w:rsidR="008A2364" w:rsidRDefault="008A2364" w:rsidP="008A2364">
      <w:pPr>
        <w:spacing w:line="480" w:lineRule="auto"/>
        <w:ind w:left="720" w:hanging="720"/>
        <w:jc w:val="both"/>
      </w:pPr>
      <w:proofErr w:type="gramStart"/>
      <w:r>
        <w:t>World Bank (2011).</w:t>
      </w:r>
      <w:proofErr w:type="gramEnd"/>
      <w:r>
        <w:t xml:space="preserve"> Afghanistan – Research study in IDPs in urban settings. Washington, DC: World Bank.</w:t>
      </w:r>
    </w:p>
    <w:p w:rsidR="00DC4D77" w:rsidRDefault="00DC4D77" w:rsidP="009F6424">
      <w:pPr>
        <w:pStyle w:val="ListParagraph"/>
        <w:spacing w:after="200" w:line="480" w:lineRule="auto"/>
        <w:ind w:left="0"/>
        <w:jc w:val="both"/>
        <w:sectPr w:rsidR="00DC4D77" w:rsidSect="00903738">
          <w:footerReference w:type="default" r:id="rId12"/>
          <w:pgSz w:w="12240" w:h="15840"/>
          <w:pgMar w:top="1440" w:right="1440" w:bottom="1440" w:left="1440" w:header="720" w:footer="720" w:gutter="0"/>
          <w:cols w:space="720"/>
          <w:docGrid w:linePitch="360"/>
        </w:sectPr>
      </w:pPr>
    </w:p>
    <w:p w:rsidR="00366809" w:rsidRDefault="00366809" w:rsidP="009F6424">
      <w:pPr>
        <w:pStyle w:val="ListParagraph"/>
        <w:spacing w:after="200" w:line="480" w:lineRule="auto"/>
        <w:ind w:left="0"/>
        <w:contextualSpacing w:val="0"/>
        <w:jc w:val="both"/>
        <w:rPr>
          <w:b/>
          <w:sz w:val="28"/>
        </w:rPr>
      </w:pPr>
      <w:r>
        <w:rPr>
          <w:b/>
          <w:sz w:val="28"/>
        </w:rPr>
        <w:lastRenderedPageBreak/>
        <w:t>Appendix</w:t>
      </w:r>
    </w:p>
    <w:tbl>
      <w:tblPr>
        <w:tblW w:w="8420" w:type="dxa"/>
        <w:jc w:val="center"/>
        <w:tblInd w:w="93" w:type="dxa"/>
        <w:tblLayout w:type="fixed"/>
        <w:tblLook w:val="04A0" w:firstRow="1" w:lastRow="0" w:firstColumn="1" w:lastColumn="0" w:noHBand="0" w:noVBand="1"/>
      </w:tblPr>
      <w:tblGrid>
        <w:gridCol w:w="2085"/>
        <w:gridCol w:w="20"/>
        <w:gridCol w:w="2105"/>
        <w:gridCol w:w="2105"/>
        <w:gridCol w:w="2105"/>
      </w:tblGrid>
      <w:tr w:rsidR="00085DA4" w:rsidRPr="002E2BA6" w:rsidTr="001F5171">
        <w:trPr>
          <w:trHeight w:val="317"/>
          <w:jc w:val="center"/>
        </w:trPr>
        <w:tc>
          <w:tcPr>
            <w:tcW w:w="8420" w:type="dxa"/>
            <w:gridSpan w:val="5"/>
            <w:tcBorders>
              <w:top w:val="nil"/>
              <w:left w:val="nil"/>
              <w:bottom w:val="double" w:sz="6" w:space="0" w:color="auto"/>
              <w:right w:val="nil"/>
            </w:tcBorders>
            <w:shd w:val="clear" w:color="auto" w:fill="auto"/>
            <w:noWrap/>
            <w:vAlign w:val="center"/>
            <w:hideMark/>
          </w:tcPr>
          <w:p w:rsidR="00085DA4" w:rsidRPr="002E2BA6" w:rsidRDefault="00085DA4" w:rsidP="00832FF8">
            <w:pPr>
              <w:spacing w:line="240" w:lineRule="auto"/>
              <w:rPr>
                <w:rFonts w:eastAsia="Times New Roman"/>
                <w:bCs/>
                <w:color w:val="000000"/>
              </w:rPr>
            </w:pPr>
            <w:r w:rsidRPr="002E2BA6">
              <w:rPr>
                <w:rFonts w:eastAsia="Times New Roman"/>
                <w:bCs/>
                <w:color w:val="000000"/>
              </w:rPr>
              <w:t>Table A1: Sample, by Province</w:t>
            </w:r>
          </w:p>
        </w:tc>
      </w:tr>
      <w:tr w:rsidR="00085DA4" w:rsidRPr="00085DA4" w:rsidTr="001F5171">
        <w:trPr>
          <w:trHeight w:val="317"/>
          <w:jc w:val="center"/>
        </w:trPr>
        <w:tc>
          <w:tcPr>
            <w:tcW w:w="208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
        </w:tc>
        <w:tc>
          <w:tcPr>
            <w:tcW w:w="4230" w:type="dxa"/>
            <w:gridSpan w:val="3"/>
            <w:tcBorders>
              <w:top w:val="double" w:sz="6" w:space="0" w:color="auto"/>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u w:val="single"/>
              </w:rPr>
            </w:pPr>
            <w:r w:rsidRPr="00085DA4">
              <w:rPr>
                <w:rFonts w:eastAsia="Times New Roman"/>
                <w:color w:val="000000"/>
                <w:sz w:val="22"/>
                <w:szCs w:val="22"/>
                <w:u w:val="single"/>
              </w:rPr>
              <w:t>Internally Displaced</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
        </w:tc>
      </w:tr>
      <w:tr w:rsidR="00085DA4" w:rsidRPr="00085DA4" w:rsidTr="001F5171">
        <w:trPr>
          <w:trHeight w:val="317"/>
          <w:jc w:val="center"/>
        </w:trPr>
        <w:tc>
          <w:tcPr>
            <w:tcW w:w="2105" w:type="dxa"/>
            <w:gridSpan w:val="2"/>
            <w:tcBorders>
              <w:top w:val="nil"/>
              <w:left w:val="nil"/>
              <w:bottom w:val="single" w:sz="4" w:space="0" w:color="auto"/>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r w:rsidRPr="00085DA4">
              <w:rPr>
                <w:rFonts w:eastAsia="Times New Roman"/>
                <w:color w:val="000000"/>
                <w:sz w:val="22"/>
                <w:szCs w:val="22"/>
              </w:rPr>
              <w:t>Province</w:t>
            </w:r>
          </w:p>
        </w:tc>
        <w:tc>
          <w:tcPr>
            <w:tcW w:w="2105" w:type="dxa"/>
            <w:tcBorders>
              <w:top w:val="nil"/>
              <w:left w:val="nil"/>
              <w:bottom w:val="single" w:sz="4" w:space="0" w:color="auto"/>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No</w:t>
            </w:r>
          </w:p>
        </w:tc>
        <w:tc>
          <w:tcPr>
            <w:tcW w:w="2105" w:type="dxa"/>
            <w:tcBorders>
              <w:top w:val="nil"/>
              <w:left w:val="nil"/>
              <w:bottom w:val="single" w:sz="4" w:space="0" w:color="auto"/>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Yes</w:t>
            </w:r>
          </w:p>
        </w:tc>
        <w:tc>
          <w:tcPr>
            <w:tcW w:w="2105" w:type="dxa"/>
            <w:tcBorders>
              <w:top w:val="nil"/>
              <w:left w:val="nil"/>
              <w:bottom w:val="single" w:sz="4" w:space="0" w:color="auto"/>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Total</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r w:rsidRPr="00085DA4">
              <w:rPr>
                <w:rFonts w:eastAsia="Times New Roman"/>
                <w:color w:val="000000"/>
                <w:sz w:val="22"/>
                <w:szCs w:val="22"/>
              </w:rPr>
              <w:t>Kabul</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32</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21</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53</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5.24%</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5.13%</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5.20%</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roofErr w:type="spellStart"/>
            <w:r w:rsidRPr="00085DA4">
              <w:rPr>
                <w:rFonts w:eastAsia="Times New Roman"/>
                <w:color w:val="000000"/>
                <w:sz w:val="22"/>
                <w:szCs w:val="22"/>
              </w:rPr>
              <w:t>Parwan</w:t>
            </w:r>
            <w:proofErr w:type="spellEnd"/>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10</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12</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22</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1.64%</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2.93%</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2.16%</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roofErr w:type="spellStart"/>
            <w:r w:rsidRPr="00085DA4">
              <w:rPr>
                <w:rFonts w:eastAsia="Times New Roman"/>
                <w:color w:val="000000"/>
                <w:sz w:val="22"/>
                <w:szCs w:val="22"/>
              </w:rPr>
              <w:t>Bamyan</w:t>
            </w:r>
            <w:proofErr w:type="spellEnd"/>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3</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4</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7</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0.49%</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0.98%</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0.69%</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roofErr w:type="spellStart"/>
            <w:r w:rsidRPr="00085DA4">
              <w:rPr>
                <w:rFonts w:eastAsia="Times New Roman"/>
                <w:color w:val="000000"/>
                <w:sz w:val="22"/>
                <w:szCs w:val="22"/>
              </w:rPr>
              <w:t>Laghman</w:t>
            </w:r>
            <w:proofErr w:type="spellEnd"/>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56</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5</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61</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9.17%</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1.22%</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5.98%</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r w:rsidRPr="00085DA4">
              <w:rPr>
                <w:rFonts w:eastAsia="Times New Roman"/>
                <w:color w:val="000000"/>
                <w:sz w:val="22"/>
                <w:szCs w:val="22"/>
              </w:rPr>
              <w:t>Nangarhar</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252</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69</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321</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41.24%</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16.87%</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31.47%</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r w:rsidRPr="00085DA4">
              <w:rPr>
                <w:rFonts w:eastAsia="Times New Roman"/>
                <w:color w:val="000000"/>
                <w:sz w:val="22"/>
                <w:szCs w:val="22"/>
              </w:rPr>
              <w:t>Balkh</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30</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4</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34</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4.91%</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0.98%</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3.33%</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roofErr w:type="spellStart"/>
            <w:r w:rsidRPr="00085DA4">
              <w:rPr>
                <w:rFonts w:eastAsia="Times New Roman"/>
                <w:color w:val="000000"/>
                <w:sz w:val="22"/>
                <w:szCs w:val="22"/>
              </w:rPr>
              <w:t>Faryab</w:t>
            </w:r>
            <w:proofErr w:type="spellEnd"/>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22</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52</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74</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3.60%</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12.71%</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7.25%</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roofErr w:type="spellStart"/>
            <w:r w:rsidRPr="00085DA4">
              <w:rPr>
                <w:rFonts w:eastAsia="Times New Roman"/>
                <w:color w:val="000000"/>
                <w:sz w:val="22"/>
                <w:szCs w:val="22"/>
              </w:rPr>
              <w:t>Jawzjan</w:t>
            </w:r>
            <w:proofErr w:type="spellEnd"/>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32</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9</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41</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5.24%</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2.20%</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4.02%</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r w:rsidRPr="00085DA4">
              <w:rPr>
                <w:rFonts w:eastAsia="Times New Roman"/>
                <w:color w:val="000000"/>
                <w:sz w:val="22"/>
                <w:szCs w:val="22"/>
              </w:rPr>
              <w:t xml:space="preserve">Sari </w:t>
            </w:r>
            <w:proofErr w:type="spellStart"/>
            <w:r w:rsidRPr="00085DA4">
              <w:rPr>
                <w:rFonts w:eastAsia="Times New Roman"/>
                <w:color w:val="000000"/>
                <w:sz w:val="22"/>
                <w:szCs w:val="22"/>
              </w:rPr>
              <w:t>Pul</w:t>
            </w:r>
            <w:proofErr w:type="spellEnd"/>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11</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12</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1.80%</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0.24%</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1.18%</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r w:rsidRPr="00085DA4">
              <w:rPr>
                <w:rFonts w:eastAsia="Times New Roman"/>
                <w:color w:val="000000"/>
                <w:sz w:val="22"/>
                <w:szCs w:val="22"/>
              </w:rPr>
              <w:t>Kunduz</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15</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10</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25</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2.45%</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2.44%</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2.45%</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roofErr w:type="spellStart"/>
            <w:r w:rsidRPr="00085DA4">
              <w:rPr>
                <w:rFonts w:eastAsia="Times New Roman"/>
                <w:color w:val="000000"/>
                <w:sz w:val="22"/>
                <w:szCs w:val="22"/>
              </w:rPr>
              <w:t>Takhar</w:t>
            </w:r>
            <w:proofErr w:type="spellEnd"/>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10</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57</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57</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1.64%</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11.49%</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5.59%</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r w:rsidRPr="00085DA4">
              <w:rPr>
                <w:rFonts w:eastAsia="Times New Roman"/>
                <w:color w:val="000000"/>
                <w:sz w:val="22"/>
                <w:szCs w:val="22"/>
              </w:rPr>
              <w:t>Helmand</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25</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70</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95</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4.09%</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17.11%</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9.31%</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r w:rsidRPr="00085DA4">
              <w:rPr>
                <w:rFonts w:eastAsia="Times New Roman"/>
                <w:color w:val="000000"/>
                <w:sz w:val="22"/>
                <w:szCs w:val="22"/>
              </w:rPr>
              <w:t>Kandahar</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30</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42</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72</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4.91%</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10.27%</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7.06%</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roofErr w:type="spellStart"/>
            <w:r w:rsidRPr="00085DA4">
              <w:rPr>
                <w:rFonts w:eastAsia="Times New Roman"/>
                <w:color w:val="000000"/>
                <w:sz w:val="22"/>
                <w:szCs w:val="22"/>
              </w:rPr>
              <w:t>Paktya</w:t>
            </w:r>
            <w:proofErr w:type="spellEnd"/>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29</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3</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32</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4.75%</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0.73%</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3.14%</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4D1EA1" w:rsidP="00832FF8">
            <w:pPr>
              <w:spacing w:line="240" w:lineRule="auto"/>
              <w:rPr>
                <w:rFonts w:eastAsia="Times New Roman"/>
                <w:color w:val="000000"/>
                <w:sz w:val="22"/>
                <w:szCs w:val="22"/>
              </w:rPr>
            </w:pPr>
            <w:r>
              <w:rPr>
                <w:rFonts w:eastAsia="Times New Roman"/>
                <w:color w:val="000000"/>
                <w:sz w:val="22"/>
                <w:szCs w:val="22"/>
              </w:rPr>
              <w:t>He</w:t>
            </w:r>
            <w:r w:rsidR="00085DA4" w:rsidRPr="00085DA4">
              <w:rPr>
                <w:rFonts w:eastAsia="Times New Roman"/>
                <w:color w:val="000000"/>
                <w:sz w:val="22"/>
                <w:szCs w:val="22"/>
              </w:rPr>
              <w:t>rat</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54</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60</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114</w:t>
            </w:r>
          </w:p>
        </w:tc>
      </w:tr>
      <w:tr w:rsidR="00085DA4" w:rsidRPr="00085DA4" w:rsidTr="001F5171">
        <w:trPr>
          <w:trHeight w:val="317"/>
          <w:jc w:val="center"/>
        </w:trPr>
        <w:tc>
          <w:tcPr>
            <w:tcW w:w="2105" w:type="dxa"/>
            <w:gridSpan w:val="2"/>
            <w:tcBorders>
              <w:top w:val="nil"/>
              <w:left w:val="nil"/>
              <w:bottom w:val="single" w:sz="4" w:space="0" w:color="auto"/>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r w:rsidRPr="00085DA4">
              <w:rPr>
                <w:rFonts w:eastAsia="Times New Roman"/>
                <w:color w:val="000000"/>
                <w:sz w:val="22"/>
                <w:szCs w:val="22"/>
              </w:rPr>
              <w:t> </w:t>
            </w:r>
          </w:p>
        </w:tc>
        <w:tc>
          <w:tcPr>
            <w:tcW w:w="2105" w:type="dxa"/>
            <w:tcBorders>
              <w:top w:val="nil"/>
              <w:left w:val="nil"/>
              <w:bottom w:val="single" w:sz="4" w:space="0" w:color="auto"/>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8.84%</w:t>
            </w:r>
          </w:p>
        </w:tc>
        <w:tc>
          <w:tcPr>
            <w:tcW w:w="2105" w:type="dxa"/>
            <w:tcBorders>
              <w:top w:val="nil"/>
              <w:left w:val="nil"/>
              <w:bottom w:val="single" w:sz="4" w:space="0" w:color="auto"/>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14.67%</w:t>
            </w:r>
          </w:p>
        </w:tc>
        <w:tc>
          <w:tcPr>
            <w:tcW w:w="2105" w:type="dxa"/>
            <w:tcBorders>
              <w:top w:val="nil"/>
              <w:left w:val="nil"/>
              <w:bottom w:val="single" w:sz="4" w:space="0" w:color="auto"/>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11.18%</w:t>
            </w:r>
          </w:p>
        </w:tc>
      </w:tr>
      <w:tr w:rsidR="00085DA4" w:rsidRPr="00085DA4" w:rsidTr="001F5171">
        <w:trPr>
          <w:trHeight w:val="317"/>
          <w:jc w:val="center"/>
        </w:trPr>
        <w:tc>
          <w:tcPr>
            <w:tcW w:w="2105" w:type="dxa"/>
            <w:gridSpan w:val="2"/>
            <w:tcBorders>
              <w:top w:val="nil"/>
              <w:left w:val="nil"/>
              <w:bottom w:val="nil"/>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r w:rsidRPr="00085DA4">
              <w:rPr>
                <w:rFonts w:eastAsia="Times New Roman"/>
                <w:color w:val="000000"/>
                <w:sz w:val="22"/>
                <w:szCs w:val="22"/>
              </w:rPr>
              <w:t>Total</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611</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409</w:t>
            </w:r>
          </w:p>
        </w:tc>
        <w:tc>
          <w:tcPr>
            <w:tcW w:w="2105" w:type="dxa"/>
            <w:tcBorders>
              <w:top w:val="nil"/>
              <w:left w:val="nil"/>
              <w:bottom w:val="nil"/>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1,020</w:t>
            </w:r>
          </w:p>
        </w:tc>
      </w:tr>
      <w:tr w:rsidR="00085DA4" w:rsidRPr="00085DA4" w:rsidTr="001F5171">
        <w:trPr>
          <w:trHeight w:val="317"/>
          <w:jc w:val="center"/>
        </w:trPr>
        <w:tc>
          <w:tcPr>
            <w:tcW w:w="2105" w:type="dxa"/>
            <w:gridSpan w:val="2"/>
            <w:tcBorders>
              <w:top w:val="nil"/>
              <w:left w:val="nil"/>
              <w:bottom w:val="single" w:sz="4" w:space="0" w:color="auto"/>
              <w:right w:val="nil"/>
            </w:tcBorders>
            <w:shd w:val="clear" w:color="auto" w:fill="auto"/>
            <w:noWrap/>
            <w:vAlign w:val="center"/>
            <w:hideMark/>
          </w:tcPr>
          <w:p w:rsidR="00085DA4" w:rsidRPr="00085DA4" w:rsidRDefault="00085DA4" w:rsidP="00832FF8">
            <w:pPr>
              <w:spacing w:line="240" w:lineRule="auto"/>
              <w:rPr>
                <w:rFonts w:eastAsia="Times New Roman"/>
                <w:color w:val="000000"/>
                <w:sz w:val="22"/>
                <w:szCs w:val="22"/>
              </w:rPr>
            </w:pPr>
            <w:r w:rsidRPr="00085DA4">
              <w:rPr>
                <w:rFonts w:eastAsia="Times New Roman"/>
                <w:color w:val="000000"/>
                <w:sz w:val="22"/>
                <w:szCs w:val="22"/>
              </w:rPr>
              <w:t> </w:t>
            </w:r>
          </w:p>
        </w:tc>
        <w:tc>
          <w:tcPr>
            <w:tcW w:w="2105" w:type="dxa"/>
            <w:tcBorders>
              <w:top w:val="nil"/>
              <w:left w:val="nil"/>
              <w:bottom w:val="single" w:sz="4" w:space="0" w:color="auto"/>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100%</w:t>
            </w:r>
          </w:p>
        </w:tc>
        <w:tc>
          <w:tcPr>
            <w:tcW w:w="2105" w:type="dxa"/>
            <w:tcBorders>
              <w:top w:val="nil"/>
              <w:left w:val="nil"/>
              <w:bottom w:val="single" w:sz="4" w:space="0" w:color="auto"/>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100%</w:t>
            </w:r>
          </w:p>
        </w:tc>
        <w:tc>
          <w:tcPr>
            <w:tcW w:w="2105" w:type="dxa"/>
            <w:tcBorders>
              <w:top w:val="nil"/>
              <w:left w:val="nil"/>
              <w:bottom w:val="single" w:sz="4" w:space="0" w:color="auto"/>
              <w:right w:val="nil"/>
            </w:tcBorders>
            <w:shd w:val="clear" w:color="auto" w:fill="auto"/>
            <w:noWrap/>
            <w:vAlign w:val="center"/>
            <w:hideMark/>
          </w:tcPr>
          <w:p w:rsidR="00085DA4" w:rsidRPr="00085DA4" w:rsidRDefault="00085DA4" w:rsidP="00832FF8">
            <w:pPr>
              <w:spacing w:line="240" w:lineRule="auto"/>
              <w:jc w:val="center"/>
              <w:rPr>
                <w:rFonts w:eastAsia="Times New Roman"/>
                <w:color w:val="000000"/>
                <w:sz w:val="22"/>
                <w:szCs w:val="22"/>
              </w:rPr>
            </w:pPr>
            <w:r w:rsidRPr="00085DA4">
              <w:rPr>
                <w:rFonts w:eastAsia="Times New Roman"/>
                <w:color w:val="000000"/>
                <w:sz w:val="22"/>
                <w:szCs w:val="22"/>
              </w:rPr>
              <w:t>100%</w:t>
            </w:r>
          </w:p>
        </w:tc>
      </w:tr>
    </w:tbl>
    <w:p w:rsidR="001F5171" w:rsidRDefault="001F5171" w:rsidP="009F6424">
      <w:pPr>
        <w:pStyle w:val="ListParagraph"/>
        <w:spacing w:after="200" w:line="480" w:lineRule="auto"/>
        <w:ind w:left="0"/>
        <w:contextualSpacing w:val="0"/>
        <w:jc w:val="both"/>
        <w:rPr>
          <w:b/>
          <w:sz w:val="28"/>
        </w:rPr>
      </w:pPr>
      <w:r>
        <w:rPr>
          <w:b/>
          <w:sz w:val="28"/>
        </w:rPr>
        <w:br w:type="page"/>
      </w:r>
    </w:p>
    <w:tbl>
      <w:tblPr>
        <w:tblW w:w="5000" w:type="pct"/>
        <w:tblLook w:val="04A0" w:firstRow="1" w:lastRow="0" w:firstColumn="1" w:lastColumn="0" w:noHBand="0" w:noVBand="1"/>
      </w:tblPr>
      <w:tblGrid>
        <w:gridCol w:w="2303"/>
        <w:gridCol w:w="1213"/>
        <w:gridCol w:w="1212"/>
        <w:gridCol w:w="1212"/>
        <w:gridCol w:w="1212"/>
        <w:gridCol w:w="1212"/>
        <w:gridCol w:w="1212"/>
      </w:tblGrid>
      <w:tr w:rsidR="007B1CDA" w:rsidRPr="002E2BA6" w:rsidTr="007B1CDA">
        <w:trPr>
          <w:trHeight w:val="317"/>
        </w:trPr>
        <w:tc>
          <w:tcPr>
            <w:tcW w:w="5000" w:type="pct"/>
            <w:gridSpan w:val="7"/>
            <w:tcBorders>
              <w:top w:val="nil"/>
              <w:left w:val="nil"/>
              <w:bottom w:val="double" w:sz="6" w:space="0" w:color="auto"/>
              <w:right w:val="nil"/>
            </w:tcBorders>
            <w:shd w:val="clear" w:color="auto" w:fill="auto"/>
            <w:noWrap/>
            <w:vAlign w:val="center"/>
            <w:hideMark/>
          </w:tcPr>
          <w:p w:rsidR="007B1CDA" w:rsidRPr="002E2BA6" w:rsidRDefault="007B1CDA" w:rsidP="00832FF8">
            <w:pPr>
              <w:spacing w:line="240" w:lineRule="auto"/>
              <w:rPr>
                <w:rFonts w:eastAsia="Times New Roman"/>
                <w:bCs/>
                <w:color w:val="000000"/>
              </w:rPr>
            </w:pPr>
            <w:r w:rsidRPr="002E2BA6">
              <w:rPr>
                <w:rFonts w:eastAsia="Times New Roman"/>
                <w:bCs/>
                <w:color w:val="000000"/>
              </w:rPr>
              <w:lastRenderedPageBreak/>
              <w:t>Table A2: School Attendance</w:t>
            </w:r>
          </w:p>
        </w:tc>
      </w:tr>
      <w:tr w:rsidR="007B1CDA" w:rsidRPr="00C437E1" w:rsidTr="00557435">
        <w:trPr>
          <w:trHeight w:val="317"/>
        </w:trPr>
        <w:tc>
          <w:tcPr>
            <w:tcW w:w="1202" w:type="pct"/>
            <w:tcBorders>
              <w:top w:val="nil"/>
              <w:left w:val="nil"/>
              <w:bottom w:val="single" w:sz="4" w:space="0" w:color="auto"/>
              <w:right w:val="nil"/>
            </w:tcBorders>
            <w:shd w:val="clear" w:color="auto" w:fill="auto"/>
            <w:noWrap/>
            <w:vAlign w:val="center"/>
            <w:hideMark/>
          </w:tcPr>
          <w:p w:rsidR="007B1CDA" w:rsidRPr="00C437E1" w:rsidRDefault="007B1CDA" w:rsidP="00832FF8">
            <w:pPr>
              <w:spacing w:line="240" w:lineRule="auto"/>
              <w:rPr>
                <w:rFonts w:eastAsia="Times New Roman"/>
                <w:color w:val="000000"/>
                <w:sz w:val="22"/>
                <w:szCs w:val="22"/>
              </w:rPr>
            </w:pPr>
            <w:r w:rsidRPr="00C437E1">
              <w:rPr>
                <w:rFonts w:eastAsia="Times New Roman"/>
                <w:color w:val="000000"/>
                <w:sz w:val="22"/>
                <w:szCs w:val="22"/>
              </w:rPr>
              <w:t>Base Category: None</w:t>
            </w:r>
          </w:p>
        </w:tc>
        <w:tc>
          <w:tcPr>
            <w:tcW w:w="1899" w:type="pct"/>
            <w:gridSpan w:val="3"/>
            <w:tcBorders>
              <w:top w:val="double" w:sz="6" w:space="0" w:color="auto"/>
              <w:left w:val="nil"/>
              <w:bottom w:val="single" w:sz="4" w:space="0" w:color="auto"/>
              <w:right w:val="nil"/>
            </w:tcBorders>
            <w:shd w:val="clear" w:color="auto" w:fill="auto"/>
            <w:noWrap/>
            <w:vAlign w:val="center"/>
            <w:hideMark/>
          </w:tcPr>
          <w:p w:rsidR="007B1CDA" w:rsidRPr="00C437E1" w:rsidRDefault="007B1CDA" w:rsidP="00832FF8">
            <w:pPr>
              <w:spacing w:line="240" w:lineRule="auto"/>
              <w:jc w:val="center"/>
              <w:rPr>
                <w:rFonts w:eastAsia="Times New Roman"/>
                <w:color w:val="000000"/>
                <w:sz w:val="22"/>
                <w:szCs w:val="22"/>
              </w:rPr>
            </w:pPr>
            <w:r w:rsidRPr="00C437E1">
              <w:rPr>
                <w:rFonts w:eastAsia="Times New Roman"/>
                <w:color w:val="000000"/>
                <w:sz w:val="22"/>
                <w:szCs w:val="22"/>
              </w:rPr>
              <w:t>All School-Aged Children</w:t>
            </w:r>
          </w:p>
        </w:tc>
        <w:tc>
          <w:tcPr>
            <w:tcW w:w="1898" w:type="pct"/>
            <w:gridSpan w:val="3"/>
            <w:tcBorders>
              <w:top w:val="double" w:sz="6" w:space="0" w:color="auto"/>
              <w:left w:val="single" w:sz="4" w:space="0" w:color="auto"/>
              <w:bottom w:val="single" w:sz="4" w:space="0" w:color="auto"/>
            </w:tcBorders>
            <w:shd w:val="clear" w:color="auto" w:fill="auto"/>
            <w:noWrap/>
            <w:vAlign w:val="center"/>
            <w:hideMark/>
          </w:tcPr>
          <w:p w:rsidR="007B1CDA" w:rsidRPr="00C437E1" w:rsidRDefault="007B1CDA" w:rsidP="00832FF8">
            <w:pPr>
              <w:spacing w:line="240" w:lineRule="auto"/>
              <w:jc w:val="center"/>
              <w:rPr>
                <w:rFonts w:eastAsia="Times New Roman"/>
                <w:color w:val="000000"/>
                <w:sz w:val="22"/>
                <w:szCs w:val="22"/>
              </w:rPr>
            </w:pPr>
            <w:r w:rsidRPr="00C437E1">
              <w:rPr>
                <w:rFonts w:eastAsia="Times New Roman"/>
                <w:color w:val="000000"/>
                <w:sz w:val="22"/>
                <w:szCs w:val="22"/>
              </w:rPr>
              <w:t>Only School-Aged Boys</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Internally Displaced</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0.4937***</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0.4838***</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0.7608</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0.6013***</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0.6008***</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0.8363</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(0.0731)</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(0.0820)</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(0.1526)</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(0.1070)</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(0.1177)</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(0.1866)</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Age of Respondent</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1.0240***</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1.0175***</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1.0125</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1.0102</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(0.0064)</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(0.0066)</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(0.0079)</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(0.0081)</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No Formal Education</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0.2168***</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0.2515***</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0.3199***</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0.3544***</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(0.0551)</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(0.0702)</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(0.0908)</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(0.1084)</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Married</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0.9172</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0.9767</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0.8518</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0.8970</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(0.2236)</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(0.2449)</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(0.2349)</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(0.2546)</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No. of Children</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1.4467***</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1.4191***</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1.4165***</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1.3748***</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(0.0663)</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(0.0686)</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(0.0683)</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(0.0676)</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Disabled</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1.0609</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1.0261</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1.0117</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0.8844</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(0.2187)</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(0.2245)</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(0.2388)</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(0.2147)</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Log of HH Income</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0.9642</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0.8366</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1.0154</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0.8493</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(0.1387)</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(0.1322)</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(0.1627)</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(0.1438)</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Received Assistance</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1.1178</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1.0981</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1.0328</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1.1284</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(0.1859)</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(0.2014)</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(0.1953)</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(0.2322)</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606983" w:rsidRDefault="007B1CDA" w:rsidP="00832FF8">
            <w:pPr>
              <w:spacing w:line="240" w:lineRule="auto"/>
              <w:rPr>
                <w:rFonts w:eastAsia="Times New Roman"/>
                <w:iCs/>
                <w:color w:val="000000"/>
                <w:sz w:val="22"/>
                <w:szCs w:val="22"/>
              </w:rPr>
            </w:pPr>
            <w:r w:rsidRPr="00606983">
              <w:rPr>
                <w:rFonts w:eastAsia="Times New Roman"/>
                <w:iCs/>
                <w:color w:val="000000"/>
                <w:sz w:val="22"/>
                <w:szCs w:val="22"/>
              </w:rPr>
              <w:t>Ethnicity</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Pashtun</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1.0047</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0.5357*</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1.1322</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0.4960*</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(0.2056)</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(0.1722)</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(0.2686)</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(0.1941)</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Tajik</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1.3890</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0.9251</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1.2603</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0.6801</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(0.4503)</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(0.3600)</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(0.4706)</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(0.3494)</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Hazara</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4.9431***</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4.7538***</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1.3183</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1.6275</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(1.6628)</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(1.9833)</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(0.6456)</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(0.9697)</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Other</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Reference</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Reference</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Reference</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Reference</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Rural</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0.4831***</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0.6840</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(0.1279)</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(0.2208)</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606983" w:rsidRDefault="007B1CDA" w:rsidP="00832FF8">
            <w:pPr>
              <w:spacing w:line="240" w:lineRule="auto"/>
              <w:rPr>
                <w:rFonts w:eastAsia="Times New Roman"/>
                <w:iCs/>
                <w:color w:val="000000"/>
                <w:sz w:val="22"/>
                <w:szCs w:val="22"/>
              </w:rPr>
            </w:pPr>
            <w:r w:rsidRPr="00606983">
              <w:rPr>
                <w:rFonts w:eastAsia="Times New Roman"/>
                <w:iCs/>
                <w:color w:val="000000"/>
                <w:sz w:val="22"/>
                <w:szCs w:val="22"/>
              </w:rPr>
              <w:t>Province</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Kabul</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1.5777</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4.4663**</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(0.8360)</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(2.9700)</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w:t>
            </w:r>
            <w:proofErr w:type="spellStart"/>
            <w:r w:rsidRPr="00E116F6">
              <w:rPr>
                <w:rFonts w:eastAsia="Times New Roman"/>
                <w:color w:val="000000"/>
                <w:sz w:val="22"/>
                <w:szCs w:val="22"/>
              </w:rPr>
              <w:t>Parwan</w:t>
            </w:r>
            <w:proofErr w:type="spellEnd"/>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0.4531</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1.3420</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(0.3537)</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(1.0804)</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w:t>
            </w:r>
            <w:proofErr w:type="spellStart"/>
            <w:r w:rsidRPr="00E116F6">
              <w:rPr>
                <w:rFonts w:eastAsia="Times New Roman"/>
                <w:color w:val="000000"/>
                <w:sz w:val="22"/>
                <w:szCs w:val="22"/>
              </w:rPr>
              <w:t>Bamyan</w:t>
            </w:r>
            <w:proofErr w:type="spellEnd"/>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1E+07***</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2E+07***</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(9E+06)</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(2E+07)</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w:t>
            </w:r>
            <w:proofErr w:type="spellStart"/>
            <w:r w:rsidRPr="00E116F6">
              <w:rPr>
                <w:rFonts w:eastAsia="Times New Roman"/>
                <w:color w:val="000000"/>
                <w:sz w:val="22"/>
                <w:szCs w:val="22"/>
              </w:rPr>
              <w:t>Laghman</w:t>
            </w:r>
            <w:proofErr w:type="spellEnd"/>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1.9940</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4.9130**</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(1.0905)</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(3.5149)</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Nangarhar</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2.8862**</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4.1197**</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(1.2621)</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(2.5119)</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lastRenderedPageBreak/>
              <w:t xml:space="preserve">    Balkh</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0.7272</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0.5546</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(0.3392)</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(0.4542)</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w:t>
            </w:r>
            <w:proofErr w:type="spellStart"/>
            <w:r w:rsidRPr="00E116F6">
              <w:rPr>
                <w:rFonts w:eastAsia="Times New Roman"/>
                <w:color w:val="000000"/>
                <w:sz w:val="22"/>
                <w:szCs w:val="22"/>
              </w:rPr>
              <w:t>Faryab</w:t>
            </w:r>
            <w:proofErr w:type="spellEnd"/>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1.3677</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0.2737</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(0.5445)</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(0.2323)</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w:t>
            </w:r>
            <w:proofErr w:type="spellStart"/>
            <w:r w:rsidRPr="00E116F6">
              <w:rPr>
                <w:rFonts w:eastAsia="Times New Roman"/>
                <w:color w:val="000000"/>
                <w:sz w:val="22"/>
                <w:szCs w:val="22"/>
              </w:rPr>
              <w:t>Jawzjan</w:t>
            </w:r>
            <w:proofErr w:type="spellEnd"/>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2.5269*</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6.9921***</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(1.3850)</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(4.1786)</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Sari </w:t>
            </w:r>
            <w:proofErr w:type="spellStart"/>
            <w:r w:rsidRPr="00E116F6">
              <w:rPr>
                <w:rFonts w:eastAsia="Times New Roman"/>
                <w:color w:val="000000"/>
                <w:sz w:val="22"/>
                <w:szCs w:val="22"/>
              </w:rPr>
              <w:t>Pul</w:t>
            </w:r>
            <w:proofErr w:type="spellEnd"/>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5.0302*</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3.6228</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(4.6006)</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(3.8298)</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Kunduz</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2.2397</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5.3083**</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(1.3064)</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w:t>
            </w:r>
            <w:bookmarkStart w:id="0" w:name="_GoBack"/>
            <w:bookmarkEnd w:id="0"/>
            <w:r w:rsidRPr="00E116F6">
              <w:rPr>
                <w:rFonts w:eastAsia="Times New Roman"/>
                <w:color w:val="000000"/>
                <w:sz w:val="22"/>
                <w:szCs w:val="22"/>
              </w:rPr>
              <w:t>3.5555)</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w:t>
            </w:r>
            <w:proofErr w:type="spellStart"/>
            <w:r w:rsidRPr="00E116F6">
              <w:rPr>
                <w:rFonts w:eastAsia="Times New Roman"/>
                <w:color w:val="000000"/>
                <w:sz w:val="22"/>
                <w:szCs w:val="22"/>
              </w:rPr>
              <w:t>Takhar</w:t>
            </w:r>
            <w:proofErr w:type="spellEnd"/>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0.2186***</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1.1201</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(0.1241)</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(0.6184)</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Helmand</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2.6690**</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6.6882***</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(1.2676)</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(4.0804)</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Kandahar</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0.8271</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3.3102*</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(0.4561)</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(2.0605)</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w:t>
            </w:r>
            <w:proofErr w:type="spellStart"/>
            <w:r w:rsidRPr="00E116F6">
              <w:rPr>
                <w:rFonts w:eastAsia="Times New Roman"/>
                <w:color w:val="000000"/>
                <w:sz w:val="22"/>
                <w:szCs w:val="22"/>
              </w:rPr>
              <w:t>Paktya</w:t>
            </w:r>
            <w:proofErr w:type="spellEnd"/>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1.2210</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5.7361**</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(0.8061)</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(4.2458)</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xml:space="preserve">    H</w:t>
            </w:r>
            <w:r>
              <w:rPr>
                <w:rFonts w:eastAsia="Times New Roman"/>
                <w:color w:val="000000"/>
                <w:sz w:val="22"/>
                <w:szCs w:val="22"/>
              </w:rPr>
              <w:t>e</w:t>
            </w:r>
            <w:r w:rsidRPr="00E116F6">
              <w:rPr>
                <w:rFonts w:eastAsia="Times New Roman"/>
                <w:color w:val="000000"/>
                <w:sz w:val="22"/>
                <w:szCs w:val="22"/>
              </w:rPr>
              <w:t>rat</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Reference</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Reference</w:t>
            </w:r>
          </w:p>
        </w:tc>
      </w:tr>
      <w:tr w:rsidR="007B1CDA" w:rsidRPr="00E116F6" w:rsidTr="00557435">
        <w:trPr>
          <w:trHeight w:val="317"/>
        </w:trPr>
        <w:tc>
          <w:tcPr>
            <w:tcW w:w="1202" w:type="pct"/>
            <w:tcBorders>
              <w:top w:val="nil"/>
              <w:left w:val="nil"/>
              <w:bottom w:val="single" w:sz="4" w:space="0" w:color="auto"/>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single" w:sz="4" w:space="0" w:color="auto"/>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single" w:sz="4" w:space="0" w:color="auto"/>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single" w:sz="4" w:space="0" w:color="auto"/>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w:t>
            </w:r>
          </w:p>
        </w:tc>
        <w:tc>
          <w:tcPr>
            <w:tcW w:w="633" w:type="pct"/>
            <w:tcBorders>
              <w:top w:val="nil"/>
              <w:left w:val="single" w:sz="4" w:space="0" w:color="auto"/>
              <w:bottom w:val="single" w:sz="4" w:space="0" w:color="auto"/>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single" w:sz="4" w:space="0" w:color="auto"/>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single" w:sz="4" w:space="0" w:color="auto"/>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Constant</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1.5444***</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0.4043</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1.1282</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0.7167***</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0.2294*</w:t>
            </w:r>
          </w:p>
        </w:tc>
        <w:tc>
          <w:tcPr>
            <w:tcW w:w="633" w:type="pct"/>
            <w:tcBorders>
              <w:top w:val="nil"/>
              <w:left w:val="nil"/>
              <w:bottom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0.3458</w:t>
            </w:r>
          </w:p>
        </w:tc>
      </w:tr>
      <w:tr w:rsidR="007B1CDA" w:rsidRPr="00E116F6" w:rsidTr="00557435">
        <w:trPr>
          <w:trHeight w:val="317"/>
        </w:trPr>
        <w:tc>
          <w:tcPr>
            <w:tcW w:w="1202" w:type="pct"/>
            <w:tcBorders>
              <w:top w:val="nil"/>
              <w:left w:val="nil"/>
              <w:bottom w:val="single" w:sz="4" w:space="0" w:color="auto"/>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 </w:t>
            </w:r>
          </w:p>
        </w:tc>
        <w:tc>
          <w:tcPr>
            <w:tcW w:w="633" w:type="pct"/>
            <w:tcBorders>
              <w:top w:val="nil"/>
              <w:left w:val="nil"/>
              <w:bottom w:val="single" w:sz="4" w:space="0" w:color="auto"/>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(0.1478)</w:t>
            </w:r>
          </w:p>
        </w:tc>
        <w:tc>
          <w:tcPr>
            <w:tcW w:w="633" w:type="pct"/>
            <w:tcBorders>
              <w:top w:val="nil"/>
              <w:left w:val="nil"/>
              <w:bottom w:val="single" w:sz="4" w:space="0" w:color="auto"/>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(0.2927)</w:t>
            </w:r>
          </w:p>
        </w:tc>
        <w:tc>
          <w:tcPr>
            <w:tcW w:w="633" w:type="pct"/>
            <w:tcBorders>
              <w:top w:val="nil"/>
              <w:left w:val="nil"/>
              <w:bottom w:val="single" w:sz="4" w:space="0" w:color="auto"/>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(0.9958)</w:t>
            </w:r>
          </w:p>
        </w:tc>
        <w:tc>
          <w:tcPr>
            <w:tcW w:w="633" w:type="pct"/>
            <w:tcBorders>
              <w:top w:val="nil"/>
              <w:left w:val="single" w:sz="4" w:space="0" w:color="auto"/>
              <w:bottom w:val="single" w:sz="4" w:space="0" w:color="auto"/>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(0.0827)</w:t>
            </w:r>
          </w:p>
        </w:tc>
        <w:tc>
          <w:tcPr>
            <w:tcW w:w="633" w:type="pct"/>
            <w:tcBorders>
              <w:top w:val="nil"/>
              <w:left w:val="nil"/>
              <w:bottom w:val="single" w:sz="4" w:space="0" w:color="auto"/>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(0.1910)</w:t>
            </w:r>
          </w:p>
        </w:tc>
        <w:tc>
          <w:tcPr>
            <w:tcW w:w="633" w:type="pct"/>
            <w:tcBorders>
              <w:top w:val="nil"/>
              <w:left w:val="nil"/>
              <w:bottom w:val="single" w:sz="4" w:space="0" w:color="auto"/>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(0.3389)</w:t>
            </w:r>
          </w:p>
        </w:tc>
      </w:tr>
      <w:tr w:rsidR="007B1CDA" w:rsidRPr="00E116F6" w:rsidTr="00557435">
        <w:trPr>
          <w:trHeight w:val="317"/>
        </w:trPr>
        <w:tc>
          <w:tcPr>
            <w:tcW w:w="1202" w:type="pct"/>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Adj. R-Squared</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0.0102</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0.1158</w:t>
            </w:r>
          </w:p>
        </w:tc>
        <w:tc>
          <w:tcPr>
            <w:tcW w:w="633" w:type="pct"/>
            <w:tcBorders>
              <w:top w:val="nil"/>
              <w:left w:val="nil"/>
              <w:bottom w:val="nil"/>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0.1742</w:t>
            </w:r>
          </w:p>
        </w:tc>
        <w:tc>
          <w:tcPr>
            <w:tcW w:w="633" w:type="pct"/>
            <w:tcBorders>
              <w:top w:val="nil"/>
              <w:left w:val="single" w:sz="4" w:space="0" w:color="auto"/>
              <w:bottom w:val="nil"/>
              <w:right w:val="nil"/>
            </w:tcBorders>
            <w:shd w:val="clear" w:color="auto" w:fill="auto"/>
            <w:noWrap/>
            <w:vAlign w:val="center"/>
            <w:hideMark/>
          </w:tcPr>
          <w:p w:rsidR="007B1CDA" w:rsidRPr="00E116F6" w:rsidRDefault="007B1CDA" w:rsidP="00E762A3">
            <w:pPr>
              <w:spacing w:line="240" w:lineRule="auto"/>
              <w:jc w:val="center"/>
              <w:rPr>
                <w:rFonts w:eastAsia="Times New Roman"/>
                <w:color w:val="000000"/>
                <w:sz w:val="22"/>
                <w:szCs w:val="22"/>
              </w:rPr>
            </w:pPr>
            <w:r w:rsidRPr="00E116F6">
              <w:rPr>
                <w:rFonts w:eastAsia="Times New Roman"/>
                <w:color w:val="000000"/>
                <w:sz w:val="22"/>
                <w:szCs w:val="22"/>
              </w:rPr>
              <w:t>0.0102</w:t>
            </w:r>
          </w:p>
        </w:tc>
        <w:tc>
          <w:tcPr>
            <w:tcW w:w="633" w:type="pct"/>
            <w:tcBorders>
              <w:top w:val="nil"/>
              <w:left w:val="nil"/>
              <w:bottom w:val="nil"/>
              <w:right w:val="nil"/>
            </w:tcBorders>
            <w:shd w:val="clear" w:color="auto" w:fill="auto"/>
            <w:noWrap/>
            <w:vAlign w:val="center"/>
            <w:hideMark/>
          </w:tcPr>
          <w:p w:rsidR="007B1CDA" w:rsidRPr="00E116F6" w:rsidRDefault="007B1CDA" w:rsidP="00E762A3">
            <w:pPr>
              <w:spacing w:line="240" w:lineRule="auto"/>
              <w:jc w:val="center"/>
              <w:rPr>
                <w:rFonts w:eastAsia="Times New Roman"/>
                <w:color w:val="000000"/>
                <w:sz w:val="22"/>
                <w:szCs w:val="22"/>
              </w:rPr>
            </w:pPr>
            <w:r w:rsidRPr="00E116F6">
              <w:rPr>
                <w:rFonts w:eastAsia="Times New Roman"/>
                <w:color w:val="000000"/>
                <w:sz w:val="22"/>
                <w:szCs w:val="22"/>
              </w:rPr>
              <w:t>0.1158</w:t>
            </w:r>
          </w:p>
        </w:tc>
        <w:tc>
          <w:tcPr>
            <w:tcW w:w="633" w:type="pct"/>
            <w:tcBorders>
              <w:top w:val="nil"/>
              <w:left w:val="nil"/>
              <w:bottom w:val="nil"/>
            </w:tcBorders>
            <w:shd w:val="clear" w:color="auto" w:fill="auto"/>
            <w:noWrap/>
            <w:vAlign w:val="center"/>
            <w:hideMark/>
          </w:tcPr>
          <w:p w:rsidR="007B1CDA" w:rsidRPr="00E116F6" w:rsidRDefault="007B1CDA" w:rsidP="00E762A3">
            <w:pPr>
              <w:spacing w:line="240" w:lineRule="auto"/>
              <w:jc w:val="center"/>
              <w:rPr>
                <w:rFonts w:eastAsia="Times New Roman"/>
                <w:color w:val="000000"/>
                <w:sz w:val="22"/>
                <w:szCs w:val="22"/>
              </w:rPr>
            </w:pPr>
            <w:r w:rsidRPr="00E116F6">
              <w:rPr>
                <w:rFonts w:eastAsia="Times New Roman"/>
                <w:color w:val="000000"/>
                <w:sz w:val="22"/>
                <w:szCs w:val="22"/>
              </w:rPr>
              <w:t>0.1742</w:t>
            </w:r>
          </w:p>
        </w:tc>
      </w:tr>
      <w:tr w:rsidR="007B1CDA" w:rsidRPr="00E116F6" w:rsidTr="00557435">
        <w:trPr>
          <w:trHeight w:val="317"/>
        </w:trPr>
        <w:tc>
          <w:tcPr>
            <w:tcW w:w="1202" w:type="pct"/>
            <w:tcBorders>
              <w:top w:val="nil"/>
              <w:left w:val="nil"/>
              <w:bottom w:val="single" w:sz="4" w:space="0" w:color="auto"/>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E116F6">
              <w:rPr>
                <w:rFonts w:eastAsia="Times New Roman"/>
                <w:color w:val="000000"/>
                <w:sz w:val="22"/>
                <w:szCs w:val="22"/>
              </w:rPr>
              <w:t>N</w:t>
            </w:r>
          </w:p>
        </w:tc>
        <w:tc>
          <w:tcPr>
            <w:tcW w:w="633" w:type="pct"/>
            <w:tcBorders>
              <w:top w:val="nil"/>
              <w:left w:val="nil"/>
              <w:bottom w:val="single" w:sz="4" w:space="0" w:color="auto"/>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1020</w:t>
            </w:r>
          </w:p>
        </w:tc>
        <w:tc>
          <w:tcPr>
            <w:tcW w:w="633" w:type="pct"/>
            <w:tcBorders>
              <w:top w:val="nil"/>
              <w:left w:val="nil"/>
              <w:bottom w:val="single" w:sz="4" w:space="0" w:color="auto"/>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1020</w:t>
            </w:r>
          </w:p>
        </w:tc>
        <w:tc>
          <w:tcPr>
            <w:tcW w:w="633" w:type="pct"/>
            <w:tcBorders>
              <w:top w:val="nil"/>
              <w:left w:val="nil"/>
              <w:bottom w:val="single" w:sz="4" w:space="0" w:color="auto"/>
              <w:right w:val="nil"/>
            </w:tcBorders>
            <w:shd w:val="clear" w:color="auto" w:fill="auto"/>
            <w:noWrap/>
            <w:vAlign w:val="center"/>
            <w:hideMark/>
          </w:tcPr>
          <w:p w:rsidR="007B1CDA" w:rsidRPr="00E116F6" w:rsidRDefault="007B1CDA" w:rsidP="00832FF8">
            <w:pPr>
              <w:spacing w:line="240" w:lineRule="auto"/>
              <w:jc w:val="center"/>
              <w:rPr>
                <w:rFonts w:eastAsia="Times New Roman"/>
                <w:color w:val="000000"/>
                <w:sz w:val="22"/>
                <w:szCs w:val="22"/>
              </w:rPr>
            </w:pPr>
            <w:r w:rsidRPr="00E116F6">
              <w:rPr>
                <w:rFonts w:eastAsia="Times New Roman"/>
                <w:color w:val="000000"/>
                <w:sz w:val="22"/>
                <w:szCs w:val="22"/>
              </w:rPr>
              <w:t>1020</w:t>
            </w:r>
          </w:p>
        </w:tc>
        <w:tc>
          <w:tcPr>
            <w:tcW w:w="633" w:type="pct"/>
            <w:tcBorders>
              <w:top w:val="nil"/>
              <w:left w:val="single" w:sz="4" w:space="0" w:color="auto"/>
              <w:bottom w:val="single" w:sz="4" w:space="0" w:color="auto"/>
              <w:right w:val="nil"/>
            </w:tcBorders>
            <w:shd w:val="clear" w:color="auto" w:fill="auto"/>
            <w:noWrap/>
            <w:vAlign w:val="center"/>
            <w:hideMark/>
          </w:tcPr>
          <w:p w:rsidR="007B1CDA" w:rsidRPr="00E116F6" w:rsidRDefault="007B1CDA" w:rsidP="00E762A3">
            <w:pPr>
              <w:spacing w:line="240" w:lineRule="auto"/>
              <w:jc w:val="center"/>
              <w:rPr>
                <w:rFonts w:eastAsia="Times New Roman"/>
                <w:color w:val="000000"/>
                <w:sz w:val="22"/>
                <w:szCs w:val="22"/>
              </w:rPr>
            </w:pPr>
            <w:r w:rsidRPr="00E116F6">
              <w:rPr>
                <w:rFonts w:eastAsia="Times New Roman"/>
                <w:color w:val="000000"/>
                <w:sz w:val="22"/>
                <w:szCs w:val="22"/>
              </w:rPr>
              <w:t>1020</w:t>
            </w:r>
          </w:p>
        </w:tc>
        <w:tc>
          <w:tcPr>
            <w:tcW w:w="633" w:type="pct"/>
            <w:tcBorders>
              <w:top w:val="nil"/>
              <w:left w:val="nil"/>
              <w:bottom w:val="single" w:sz="4" w:space="0" w:color="auto"/>
              <w:right w:val="nil"/>
            </w:tcBorders>
            <w:shd w:val="clear" w:color="auto" w:fill="auto"/>
            <w:noWrap/>
            <w:vAlign w:val="center"/>
            <w:hideMark/>
          </w:tcPr>
          <w:p w:rsidR="007B1CDA" w:rsidRPr="00E116F6" w:rsidRDefault="007B1CDA" w:rsidP="00E762A3">
            <w:pPr>
              <w:spacing w:line="240" w:lineRule="auto"/>
              <w:jc w:val="center"/>
              <w:rPr>
                <w:rFonts w:eastAsia="Times New Roman"/>
                <w:color w:val="000000"/>
                <w:sz w:val="22"/>
                <w:szCs w:val="22"/>
              </w:rPr>
            </w:pPr>
            <w:r w:rsidRPr="00E116F6">
              <w:rPr>
                <w:rFonts w:eastAsia="Times New Roman"/>
                <w:color w:val="000000"/>
                <w:sz w:val="22"/>
                <w:szCs w:val="22"/>
              </w:rPr>
              <w:t>1020</w:t>
            </w:r>
          </w:p>
        </w:tc>
        <w:tc>
          <w:tcPr>
            <w:tcW w:w="633" w:type="pct"/>
            <w:tcBorders>
              <w:top w:val="nil"/>
              <w:left w:val="nil"/>
              <w:bottom w:val="single" w:sz="4" w:space="0" w:color="auto"/>
            </w:tcBorders>
            <w:shd w:val="clear" w:color="auto" w:fill="auto"/>
            <w:noWrap/>
            <w:vAlign w:val="center"/>
            <w:hideMark/>
          </w:tcPr>
          <w:p w:rsidR="007B1CDA" w:rsidRPr="00E116F6" w:rsidRDefault="007B1CDA" w:rsidP="00E762A3">
            <w:pPr>
              <w:spacing w:line="240" w:lineRule="auto"/>
              <w:jc w:val="center"/>
              <w:rPr>
                <w:rFonts w:eastAsia="Times New Roman"/>
                <w:color w:val="000000"/>
                <w:sz w:val="22"/>
                <w:szCs w:val="22"/>
              </w:rPr>
            </w:pPr>
            <w:r w:rsidRPr="00E116F6">
              <w:rPr>
                <w:rFonts w:eastAsia="Times New Roman"/>
                <w:color w:val="000000"/>
                <w:sz w:val="22"/>
                <w:szCs w:val="22"/>
              </w:rPr>
              <w:t>1020</w:t>
            </w:r>
          </w:p>
        </w:tc>
      </w:tr>
      <w:tr w:rsidR="007B1CDA" w:rsidRPr="00E116F6" w:rsidTr="007B1CDA">
        <w:trPr>
          <w:trHeight w:val="317"/>
        </w:trPr>
        <w:tc>
          <w:tcPr>
            <w:tcW w:w="5000" w:type="pct"/>
            <w:gridSpan w:val="7"/>
            <w:tcBorders>
              <w:top w:val="nil"/>
              <w:left w:val="nil"/>
              <w:bottom w:val="nil"/>
              <w:right w:val="nil"/>
            </w:tcBorders>
            <w:shd w:val="clear" w:color="auto" w:fill="auto"/>
            <w:noWrap/>
            <w:vAlign w:val="center"/>
            <w:hideMark/>
          </w:tcPr>
          <w:p w:rsidR="007B1CDA" w:rsidRPr="00E116F6" w:rsidRDefault="007B1CDA" w:rsidP="00832FF8">
            <w:pPr>
              <w:spacing w:line="240" w:lineRule="auto"/>
              <w:rPr>
                <w:rFonts w:eastAsia="Times New Roman"/>
                <w:color w:val="000000"/>
                <w:sz w:val="22"/>
                <w:szCs w:val="22"/>
              </w:rPr>
            </w:pPr>
            <w:r w:rsidRPr="00F74E3C">
              <w:rPr>
                <w:rFonts w:eastAsia="Times New Roman"/>
                <w:iCs/>
                <w:color w:val="000000"/>
                <w:sz w:val="20"/>
                <w:szCs w:val="20"/>
              </w:rPr>
              <w:t>Note</w:t>
            </w:r>
            <w:r w:rsidRPr="00E116F6">
              <w:rPr>
                <w:rFonts w:eastAsia="Times New Roman"/>
                <w:color w:val="000000"/>
                <w:sz w:val="20"/>
                <w:szCs w:val="20"/>
              </w:rPr>
              <w:t>: * p&lt;0.10, ** p&lt;0.05, *** p&lt;0.01.</w:t>
            </w:r>
          </w:p>
        </w:tc>
      </w:tr>
    </w:tbl>
    <w:p w:rsidR="00A51588" w:rsidRDefault="00A51588">
      <w:pPr>
        <w:spacing w:line="240" w:lineRule="auto"/>
      </w:pPr>
      <w:r>
        <w:br w:type="page"/>
      </w:r>
    </w:p>
    <w:tbl>
      <w:tblPr>
        <w:tblW w:w="5000" w:type="pct"/>
        <w:tblLook w:val="04A0" w:firstRow="1" w:lastRow="0" w:firstColumn="1" w:lastColumn="0" w:noHBand="0" w:noVBand="1"/>
      </w:tblPr>
      <w:tblGrid>
        <w:gridCol w:w="2230"/>
        <w:gridCol w:w="1151"/>
        <w:gridCol w:w="1261"/>
        <w:gridCol w:w="1261"/>
        <w:gridCol w:w="1151"/>
        <w:gridCol w:w="1261"/>
        <w:gridCol w:w="1261"/>
      </w:tblGrid>
      <w:tr w:rsidR="00AA7F35" w:rsidRPr="002E2BA6" w:rsidTr="00832FF8">
        <w:trPr>
          <w:trHeight w:val="317"/>
        </w:trPr>
        <w:tc>
          <w:tcPr>
            <w:tcW w:w="5000" w:type="pct"/>
            <w:gridSpan w:val="7"/>
            <w:tcBorders>
              <w:top w:val="nil"/>
              <w:left w:val="nil"/>
              <w:bottom w:val="double" w:sz="6" w:space="0" w:color="auto"/>
              <w:right w:val="nil"/>
            </w:tcBorders>
            <w:shd w:val="clear" w:color="auto" w:fill="auto"/>
            <w:noWrap/>
            <w:vAlign w:val="center"/>
            <w:hideMark/>
          </w:tcPr>
          <w:p w:rsidR="00AA7F35" w:rsidRPr="002E2BA6" w:rsidRDefault="00AA7F35" w:rsidP="00832FF8">
            <w:pPr>
              <w:spacing w:line="240" w:lineRule="auto"/>
              <w:rPr>
                <w:rFonts w:eastAsia="Times New Roman"/>
                <w:bCs/>
                <w:color w:val="000000"/>
              </w:rPr>
            </w:pPr>
            <w:r w:rsidRPr="002E2BA6">
              <w:rPr>
                <w:rFonts w:eastAsia="Times New Roman"/>
                <w:bCs/>
                <w:color w:val="000000"/>
              </w:rPr>
              <w:lastRenderedPageBreak/>
              <w:t>Table A3: Food Insecurity</w:t>
            </w:r>
          </w:p>
        </w:tc>
      </w:tr>
      <w:tr w:rsidR="00AA7F35" w:rsidRPr="00C437E1" w:rsidTr="00C437E1">
        <w:trPr>
          <w:trHeight w:val="317"/>
        </w:trPr>
        <w:tc>
          <w:tcPr>
            <w:tcW w:w="1203" w:type="pct"/>
            <w:tcBorders>
              <w:top w:val="nil"/>
              <w:left w:val="nil"/>
              <w:bottom w:val="single" w:sz="4" w:space="0" w:color="auto"/>
              <w:right w:val="nil"/>
            </w:tcBorders>
            <w:shd w:val="clear" w:color="auto" w:fill="auto"/>
            <w:noWrap/>
            <w:vAlign w:val="center"/>
            <w:hideMark/>
          </w:tcPr>
          <w:p w:rsidR="00AA7F35" w:rsidRPr="00C437E1" w:rsidRDefault="00AA7F35" w:rsidP="00832FF8">
            <w:pPr>
              <w:spacing w:line="240" w:lineRule="auto"/>
              <w:rPr>
                <w:rFonts w:eastAsia="Times New Roman"/>
                <w:color w:val="000000"/>
                <w:sz w:val="22"/>
                <w:szCs w:val="22"/>
              </w:rPr>
            </w:pPr>
            <w:r w:rsidRPr="00C437E1">
              <w:rPr>
                <w:rFonts w:eastAsia="Times New Roman"/>
                <w:color w:val="000000"/>
                <w:sz w:val="22"/>
                <w:szCs w:val="22"/>
              </w:rPr>
              <w:t>Base Category: Never</w:t>
            </w:r>
          </w:p>
        </w:tc>
        <w:tc>
          <w:tcPr>
            <w:tcW w:w="1899" w:type="pct"/>
            <w:gridSpan w:val="3"/>
            <w:tcBorders>
              <w:top w:val="double" w:sz="6" w:space="0" w:color="auto"/>
              <w:left w:val="nil"/>
              <w:bottom w:val="single" w:sz="4" w:space="0" w:color="auto"/>
              <w:right w:val="single" w:sz="4" w:space="0" w:color="000000"/>
            </w:tcBorders>
            <w:shd w:val="clear" w:color="auto" w:fill="auto"/>
            <w:noWrap/>
            <w:vAlign w:val="center"/>
            <w:hideMark/>
          </w:tcPr>
          <w:p w:rsidR="00AA7F35" w:rsidRPr="00C437E1" w:rsidRDefault="00AA7F35" w:rsidP="00832FF8">
            <w:pPr>
              <w:spacing w:line="240" w:lineRule="auto"/>
              <w:jc w:val="center"/>
              <w:rPr>
                <w:rFonts w:eastAsia="Times New Roman"/>
                <w:color w:val="000000"/>
                <w:sz w:val="22"/>
                <w:szCs w:val="22"/>
              </w:rPr>
            </w:pPr>
            <w:r w:rsidRPr="00C437E1">
              <w:rPr>
                <w:rFonts w:eastAsia="Times New Roman"/>
                <w:color w:val="000000"/>
                <w:sz w:val="22"/>
                <w:szCs w:val="22"/>
              </w:rPr>
              <w:t>Rarely (1-2 times/month)</w:t>
            </w:r>
          </w:p>
        </w:tc>
        <w:tc>
          <w:tcPr>
            <w:tcW w:w="1898" w:type="pct"/>
            <w:gridSpan w:val="3"/>
            <w:tcBorders>
              <w:top w:val="double" w:sz="6" w:space="0" w:color="auto"/>
              <w:left w:val="nil"/>
              <w:bottom w:val="single" w:sz="4" w:space="0" w:color="auto"/>
              <w:right w:val="nil"/>
            </w:tcBorders>
            <w:shd w:val="clear" w:color="auto" w:fill="auto"/>
            <w:noWrap/>
            <w:vAlign w:val="center"/>
            <w:hideMark/>
          </w:tcPr>
          <w:p w:rsidR="00AA7F35" w:rsidRPr="00C437E1" w:rsidRDefault="00AA7F35" w:rsidP="00832FF8">
            <w:pPr>
              <w:spacing w:line="240" w:lineRule="auto"/>
              <w:jc w:val="center"/>
              <w:rPr>
                <w:rFonts w:eastAsia="Times New Roman"/>
                <w:color w:val="000000"/>
                <w:sz w:val="22"/>
                <w:szCs w:val="22"/>
              </w:rPr>
            </w:pPr>
            <w:r w:rsidRPr="00C437E1">
              <w:rPr>
                <w:rFonts w:eastAsia="Times New Roman"/>
                <w:color w:val="000000"/>
                <w:sz w:val="22"/>
                <w:szCs w:val="22"/>
              </w:rPr>
              <w:t>Often (&gt; 3 times/month)</w:t>
            </w:r>
          </w:p>
        </w:tc>
      </w:tr>
      <w:tr w:rsidR="00AA7F35" w:rsidRPr="00AA7F35" w:rsidTr="00C437E1">
        <w:trPr>
          <w:trHeight w:val="317"/>
        </w:trPr>
        <w:tc>
          <w:tcPr>
            <w:tcW w:w="1203" w:type="pct"/>
            <w:tcBorders>
              <w:top w:val="single" w:sz="4" w:space="0" w:color="auto"/>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Internally Displaced</w:t>
            </w:r>
          </w:p>
        </w:tc>
        <w:tc>
          <w:tcPr>
            <w:tcW w:w="633" w:type="pct"/>
            <w:tcBorders>
              <w:top w:val="single" w:sz="4" w:space="0" w:color="auto"/>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1.9005***</w:t>
            </w:r>
          </w:p>
        </w:tc>
        <w:tc>
          <w:tcPr>
            <w:tcW w:w="633" w:type="pct"/>
            <w:tcBorders>
              <w:top w:val="single" w:sz="4" w:space="0" w:color="auto"/>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1.9340***</w:t>
            </w:r>
          </w:p>
        </w:tc>
        <w:tc>
          <w:tcPr>
            <w:tcW w:w="633" w:type="pct"/>
            <w:tcBorders>
              <w:top w:val="single" w:sz="4" w:space="0" w:color="auto"/>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2.0554***</w:t>
            </w:r>
          </w:p>
        </w:tc>
        <w:tc>
          <w:tcPr>
            <w:tcW w:w="633" w:type="pct"/>
            <w:tcBorders>
              <w:top w:val="single" w:sz="4" w:space="0" w:color="auto"/>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2.0895***</w:t>
            </w:r>
          </w:p>
        </w:tc>
        <w:tc>
          <w:tcPr>
            <w:tcW w:w="633" w:type="pct"/>
            <w:tcBorders>
              <w:top w:val="single" w:sz="4" w:space="0" w:color="auto"/>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2.1239***</w:t>
            </w:r>
          </w:p>
        </w:tc>
        <w:tc>
          <w:tcPr>
            <w:tcW w:w="632" w:type="pct"/>
            <w:tcBorders>
              <w:top w:val="single" w:sz="4" w:space="0" w:color="auto"/>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2.0358***</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(0.3522)</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(0.3836)</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(0.4628)</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(0.3964)</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(0.4434)</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(0.4717)</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Age of Respondent</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1.0193***</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1.0197***</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1.0238***</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1.0250***</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(0.0071)</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(0.0074)</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(0.0074)</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(0.0076)</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No Formal Education</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0.7521</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0.7701</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1.1937</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1.2816</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(0.1792)</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(0.1911)</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(0.3143)</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(0.3527)</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Married</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1.2187</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1.2448</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0.7504</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0.7144</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(0.2956)</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(0.3118)</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(0.1842)</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(0.1814)</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No. of Children</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0.9819</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0.9845</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0.9322*</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0.9229**</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(0.0319)</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(0.0348)</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(0.0342)</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(0.0366)</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Disabled</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0.9700</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0.9799</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0.9221</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0.8485</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(0.2178)</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(0.2219)</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(0.2173)</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(0.2051)</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Log of HH Income</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0.4445***</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0.4556***</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0.2740***</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0.2673***</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(0.0836)</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(0.0908)</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(0.0573)</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(0.0582)</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Received Assistance</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0.7544</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0.6970*</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0.7084*</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0.5804***</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(0.1352)</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(0.1353)</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(0.1343)</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(0.1181)</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606983" w:rsidRDefault="00AA7F35" w:rsidP="00832FF8">
            <w:pPr>
              <w:spacing w:line="240" w:lineRule="auto"/>
              <w:rPr>
                <w:rFonts w:eastAsia="Times New Roman"/>
                <w:iCs/>
                <w:color w:val="000000"/>
                <w:sz w:val="22"/>
                <w:szCs w:val="22"/>
              </w:rPr>
            </w:pPr>
            <w:r w:rsidRPr="00606983">
              <w:rPr>
                <w:rFonts w:eastAsia="Times New Roman"/>
                <w:iCs/>
                <w:color w:val="000000"/>
                <w:sz w:val="22"/>
                <w:szCs w:val="22"/>
              </w:rPr>
              <w:t>Ethnicity</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Pashtun</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1.1207</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1.0771</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1.4792</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1.0746</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(0.2626)</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(0.3916)</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(0.3700)</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(0.4313)</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Tajik</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1.1362</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1.0099</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1.1038</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0.8698</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(0.4018)</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(0.4277)</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(0.4092)</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(0.4055)</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Hazara</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1.4497</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1.6255</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1.0094</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0.8475</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(0.5646)</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(0.7403)</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(0.4244)</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(0.4296)</w:t>
            </w:r>
          </w:p>
        </w:tc>
      </w:tr>
      <w:tr w:rsidR="00AA7F35" w:rsidRPr="00AA7F35" w:rsidTr="00C437E1">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Other</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D25E1E" w:rsidRDefault="00AA7F35" w:rsidP="00832FF8">
            <w:pPr>
              <w:spacing w:line="240" w:lineRule="auto"/>
              <w:jc w:val="center"/>
              <w:rPr>
                <w:rFonts w:eastAsia="Times New Roman"/>
                <w:color w:val="000000"/>
                <w:sz w:val="20"/>
                <w:szCs w:val="20"/>
              </w:rPr>
            </w:pPr>
            <w:r w:rsidRPr="00D25E1E">
              <w:rPr>
                <w:rFonts w:eastAsia="Times New Roman"/>
                <w:color w:val="000000"/>
                <w:sz w:val="20"/>
                <w:szCs w:val="20"/>
              </w:rPr>
              <w:t>Reference</w:t>
            </w:r>
          </w:p>
        </w:tc>
        <w:tc>
          <w:tcPr>
            <w:tcW w:w="633" w:type="pct"/>
            <w:tcBorders>
              <w:top w:val="nil"/>
              <w:left w:val="nil"/>
              <w:bottom w:val="nil"/>
              <w:right w:val="single" w:sz="4" w:space="0" w:color="auto"/>
            </w:tcBorders>
            <w:shd w:val="clear" w:color="auto" w:fill="auto"/>
            <w:noWrap/>
            <w:vAlign w:val="center"/>
            <w:hideMark/>
          </w:tcPr>
          <w:p w:rsidR="00AA7F35" w:rsidRPr="00D25E1E" w:rsidRDefault="00AA7F35" w:rsidP="00832FF8">
            <w:pPr>
              <w:spacing w:line="240" w:lineRule="auto"/>
              <w:jc w:val="center"/>
              <w:rPr>
                <w:rFonts w:eastAsia="Times New Roman"/>
                <w:color w:val="000000"/>
                <w:sz w:val="20"/>
                <w:szCs w:val="20"/>
              </w:rPr>
            </w:pPr>
            <w:r w:rsidRPr="00D25E1E">
              <w:rPr>
                <w:rFonts w:eastAsia="Times New Roman"/>
                <w:color w:val="000000"/>
                <w:sz w:val="20"/>
                <w:szCs w:val="20"/>
              </w:rPr>
              <w:t>Reference</w:t>
            </w:r>
          </w:p>
        </w:tc>
        <w:tc>
          <w:tcPr>
            <w:tcW w:w="633" w:type="pct"/>
            <w:tcBorders>
              <w:top w:val="nil"/>
              <w:left w:val="nil"/>
              <w:bottom w:val="nil"/>
              <w:right w:val="nil"/>
            </w:tcBorders>
            <w:shd w:val="clear" w:color="auto" w:fill="auto"/>
            <w:noWrap/>
            <w:vAlign w:val="center"/>
            <w:hideMark/>
          </w:tcPr>
          <w:p w:rsidR="00AA7F35" w:rsidRPr="00D25E1E" w:rsidRDefault="00AA7F35" w:rsidP="00832FF8">
            <w:pPr>
              <w:spacing w:line="240" w:lineRule="auto"/>
              <w:jc w:val="center"/>
              <w:rPr>
                <w:rFonts w:eastAsia="Times New Roman"/>
                <w:color w:val="000000"/>
                <w:sz w:val="20"/>
                <w:szCs w:val="20"/>
              </w:rPr>
            </w:pPr>
            <w:r w:rsidRPr="00D25E1E">
              <w:rPr>
                <w:rFonts w:eastAsia="Times New Roman"/>
                <w:color w:val="000000"/>
                <w:sz w:val="20"/>
                <w:szCs w:val="20"/>
              </w:rPr>
              <w:t> </w:t>
            </w:r>
          </w:p>
        </w:tc>
        <w:tc>
          <w:tcPr>
            <w:tcW w:w="633" w:type="pct"/>
            <w:tcBorders>
              <w:top w:val="nil"/>
              <w:left w:val="nil"/>
              <w:bottom w:val="nil"/>
              <w:right w:val="nil"/>
            </w:tcBorders>
            <w:shd w:val="clear" w:color="auto" w:fill="auto"/>
            <w:noWrap/>
            <w:vAlign w:val="center"/>
            <w:hideMark/>
          </w:tcPr>
          <w:p w:rsidR="00AA7F35" w:rsidRPr="00D25E1E" w:rsidRDefault="00AA7F35" w:rsidP="00832FF8">
            <w:pPr>
              <w:spacing w:line="240" w:lineRule="auto"/>
              <w:jc w:val="center"/>
              <w:rPr>
                <w:rFonts w:eastAsia="Times New Roman"/>
                <w:color w:val="000000"/>
                <w:sz w:val="20"/>
                <w:szCs w:val="20"/>
              </w:rPr>
            </w:pPr>
            <w:r w:rsidRPr="00D25E1E">
              <w:rPr>
                <w:rFonts w:eastAsia="Times New Roman"/>
                <w:color w:val="000000"/>
                <w:sz w:val="20"/>
                <w:szCs w:val="20"/>
              </w:rPr>
              <w:t>Reference</w:t>
            </w:r>
          </w:p>
        </w:tc>
        <w:tc>
          <w:tcPr>
            <w:tcW w:w="632" w:type="pct"/>
            <w:tcBorders>
              <w:top w:val="nil"/>
              <w:left w:val="nil"/>
              <w:bottom w:val="nil"/>
              <w:right w:val="nil"/>
            </w:tcBorders>
            <w:shd w:val="clear" w:color="auto" w:fill="auto"/>
            <w:noWrap/>
            <w:vAlign w:val="center"/>
            <w:hideMark/>
          </w:tcPr>
          <w:p w:rsidR="00AA7F35" w:rsidRPr="00D25E1E" w:rsidRDefault="00AA7F35" w:rsidP="00832FF8">
            <w:pPr>
              <w:spacing w:line="240" w:lineRule="auto"/>
              <w:jc w:val="center"/>
              <w:rPr>
                <w:rFonts w:eastAsia="Times New Roman"/>
                <w:color w:val="000000"/>
                <w:sz w:val="20"/>
                <w:szCs w:val="20"/>
              </w:rPr>
            </w:pPr>
            <w:r w:rsidRPr="00D25E1E">
              <w:rPr>
                <w:rFonts w:eastAsia="Times New Roman"/>
                <w:color w:val="000000"/>
                <w:sz w:val="20"/>
                <w:szCs w:val="20"/>
              </w:rPr>
              <w:t>Reference</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D25E1E" w:rsidRDefault="00AA7F35" w:rsidP="00832FF8">
            <w:pPr>
              <w:spacing w:line="240" w:lineRule="auto"/>
              <w:jc w:val="center"/>
              <w:rPr>
                <w:rFonts w:eastAsia="Times New Roman"/>
                <w:color w:val="000000"/>
                <w:sz w:val="20"/>
                <w:szCs w:val="20"/>
              </w:rPr>
            </w:pPr>
            <w:r w:rsidRPr="00D25E1E">
              <w:rPr>
                <w:rFonts w:eastAsia="Times New Roman"/>
                <w:color w:val="000000"/>
                <w:sz w:val="20"/>
                <w:szCs w:val="20"/>
              </w:rPr>
              <w:t>(.)</w:t>
            </w:r>
          </w:p>
        </w:tc>
        <w:tc>
          <w:tcPr>
            <w:tcW w:w="633" w:type="pct"/>
            <w:tcBorders>
              <w:top w:val="nil"/>
              <w:left w:val="nil"/>
              <w:bottom w:val="nil"/>
              <w:right w:val="single" w:sz="4" w:space="0" w:color="auto"/>
            </w:tcBorders>
            <w:shd w:val="clear" w:color="auto" w:fill="auto"/>
            <w:noWrap/>
            <w:vAlign w:val="center"/>
            <w:hideMark/>
          </w:tcPr>
          <w:p w:rsidR="00AA7F35" w:rsidRPr="00D25E1E" w:rsidRDefault="00AA7F35" w:rsidP="00832FF8">
            <w:pPr>
              <w:spacing w:line="240" w:lineRule="auto"/>
              <w:jc w:val="center"/>
              <w:rPr>
                <w:rFonts w:eastAsia="Times New Roman"/>
                <w:color w:val="000000"/>
                <w:sz w:val="20"/>
                <w:szCs w:val="20"/>
              </w:rPr>
            </w:pPr>
            <w:r w:rsidRPr="00D25E1E">
              <w:rPr>
                <w:rFonts w:eastAsia="Times New Roman"/>
                <w:color w:val="000000"/>
                <w:sz w:val="20"/>
                <w:szCs w:val="20"/>
              </w:rPr>
              <w:t>(.)</w:t>
            </w:r>
          </w:p>
        </w:tc>
        <w:tc>
          <w:tcPr>
            <w:tcW w:w="633" w:type="pct"/>
            <w:tcBorders>
              <w:top w:val="nil"/>
              <w:left w:val="nil"/>
              <w:bottom w:val="nil"/>
              <w:right w:val="nil"/>
            </w:tcBorders>
            <w:shd w:val="clear" w:color="auto" w:fill="auto"/>
            <w:noWrap/>
            <w:vAlign w:val="center"/>
            <w:hideMark/>
          </w:tcPr>
          <w:p w:rsidR="00AA7F35" w:rsidRPr="00D25E1E" w:rsidRDefault="00AA7F35" w:rsidP="00832FF8">
            <w:pPr>
              <w:spacing w:line="240" w:lineRule="auto"/>
              <w:jc w:val="center"/>
              <w:rPr>
                <w:rFonts w:eastAsia="Times New Roman"/>
                <w:color w:val="000000"/>
                <w:sz w:val="20"/>
                <w:szCs w:val="20"/>
              </w:rPr>
            </w:pPr>
            <w:r w:rsidRPr="00D25E1E">
              <w:rPr>
                <w:rFonts w:eastAsia="Times New Roman"/>
                <w:color w:val="000000"/>
                <w:sz w:val="20"/>
                <w:szCs w:val="20"/>
              </w:rPr>
              <w:t> </w:t>
            </w:r>
          </w:p>
        </w:tc>
        <w:tc>
          <w:tcPr>
            <w:tcW w:w="633" w:type="pct"/>
            <w:tcBorders>
              <w:top w:val="nil"/>
              <w:left w:val="nil"/>
              <w:bottom w:val="nil"/>
              <w:right w:val="nil"/>
            </w:tcBorders>
            <w:shd w:val="clear" w:color="auto" w:fill="auto"/>
            <w:noWrap/>
            <w:vAlign w:val="center"/>
            <w:hideMark/>
          </w:tcPr>
          <w:p w:rsidR="00AA7F35" w:rsidRPr="00D25E1E" w:rsidRDefault="00AA7F35" w:rsidP="00832FF8">
            <w:pPr>
              <w:spacing w:line="240" w:lineRule="auto"/>
              <w:jc w:val="center"/>
              <w:rPr>
                <w:rFonts w:eastAsia="Times New Roman"/>
                <w:color w:val="000000"/>
                <w:sz w:val="20"/>
                <w:szCs w:val="20"/>
              </w:rPr>
            </w:pPr>
            <w:r w:rsidRPr="00D25E1E">
              <w:rPr>
                <w:rFonts w:eastAsia="Times New Roman"/>
                <w:color w:val="000000"/>
                <w:sz w:val="20"/>
                <w:szCs w:val="20"/>
              </w:rPr>
              <w:t>(.)</w:t>
            </w:r>
          </w:p>
        </w:tc>
        <w:tc>
          <w:tcPr>
            <w:tcW w:w="632" w:type="pct"/>
            <w:tcBorders>
              <w:top w:val="nil"/>
              <w:left w:val="nil"/>
              <w:bottom w:val="nil"/>
              <w:right w:val="nil"/>
            </w:tcBorders>
            <w:shd w:val="clear" w:color="auto" w:fill="auto"/>
            <w:noWrap/>
            <w:vAlign w:val="center"/>
            <w:hideMark/>
          </w:tcPr>
          <w:p w:rsidR="00AA7F35" w:rsidRPr="00D25E1E" w:rsidRDefault="00AA7F35" w:rsidP="00832FF8">
            <w:pPr>
              <w:spacing w:line="240" w:lineRule="auto"/>
              <w:jc w:val="center"/>
              <w:rPr>
                <w:rFonts w:eastAsia="Times New Roman"/>
                <w:color w:val="000000"/>
                <w:sz w:val="20"/>
                <w:szCs w:val="20"/>
              </w:rPr>
            </w:pPr>
            <w:r w:rsidRPr="00D25E1E">
              <w:rPr>
                <w:rFonts w:eastAsia="Times New Roman"/>
                <w:color w:val="000000"/>
                <w:sz w:val="20"/>
                <w:szCs w:val="20"/>
              </w:rPr>
              <w:t>(.)</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Rural</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1.0559</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1.8748**</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(0.2915)</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(0.5398)</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606983" w:rsidRDefault="00AA7F35" w:rsidP="00832FF8">
            <w:pPr>
              <w:spacing w:line="240" w:lineRule="auto"/>
              <w:rPr>
                <w:rFonts w:eastAsia="Times New Roman"/>
                <w:iCs/>
                <w:color w:val="000000"/>
                <w:sz w:val="22"/>
                <w:szCs w:val="22"/>
              </w:rPr>
            </w:pPr>
            <w:r w:rsidRPr="00606983">
              <w:rPr>
                <w:rFonts w:eastAsia="Times New Roman"/>
                <w:iCs/>
                <w:color w:val="000000"/>
                <w:sz w:val="22"/>
                <w:szCs w:val="22"/>
              </w:rPr>
              <w:t>Province</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Kabul</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0.8981</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0.4612</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(0.4373)</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(0.2452)</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w:t>
            </w:r>
            <w:proofErr w:type="spellStart"/>
            <w:r w:rsidRPr="00AA7F35">
              <w:rPr>
                <w:rFonts w:eastAsia="Times New Roman"/>
                <w:color w:val="000000"/>
                <w:sz w:val="22"/>
                <w:szCs w:val="22"/>
              </w:rPr>
              <w:t>Parwan</w:t>
            </w:r>
            <w:proofErr w:type="spellEnd"/>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0.7343</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0.3162</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(0.4961)</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(0.2537)</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w:t>
            </w:r>
            <w:proofErr w:type="spellStart"/>
            <w:r w:rsidRPr="00AA7F35">
              <w:rPr>
                <w:rFonts w:eastAsia="Times New Roman"/>
                <w:color w:val="000000"/>
                <w:sz w:val="22"/>
                <w:szCs w:val="22"/>
              </w:rPr>
              <w:t>Bamyan</w:t>
            </w:r>
            <w:proofErr w:type="spellEnd"/>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1.3172</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1.4772</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(1.4272)</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(1.6537)</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w:t>
            </w:r>
            <w:proofErr w:type="spellStart"/>
            <w:r w:rsidRPr="00AA7F35">
              <w:rPr>
                <w:rFonts w:eastAsia="Times New Roman"/>
                <w:color w:val="000000"/>
                <w:sz w:val="22"/>
                <w:szCs w:val="22"/>
              </w:rPr>
              <w:t>Laghman</w:t>
            </w:r>
            <w:proofErr w:type="spellEnd"/>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1.3631</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0.5933</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(0.7768)</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(0.3722)</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Nangarhar</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1.4112</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1.6506</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(0.6519)</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(0.7807)</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lastRenderedPageBreak/>
              <w:t xml:space="preserve">    Balkh</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0.9220</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0.5201</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(0.4605)</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(0.3023)</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w:t>
            </w:r>
            <w:proofErr w:type="spellStart"/>
            <w:r w:rsidRPr="00AA7F35">
              <w:rPr>
                <w:rFonts w:eastAsia="Times New Roman"/>
                <w:color w:val="000000"/>
                <w:sz w:val="22"/>
                <w:szCs w:val="22"/>
              </w:rPr>
              <w:t>Faryab</w:t>
            </w:r>
            <w:proofErr w:type="spellEnd"/>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1.7592</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0.6760</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(0.9194)</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(0.3685)</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w:t>
            </w:r>
            <w:proofErr w:type="spellStart"/>
            <w:r w:rsidRPr="00AA7F35">
              <w:rPr>
                <w:rFonts w:eastAsia="Times New Roman"/>
                <w:color w:val="000000"/>
                <w:sz w:val="22"/>
                <w:szCs w:val="22"/>
              </w:rPr>
              <w:t>Jawzjan</w:t>
            </w:r>
            <w:proofErr w:type="spellEnd"/>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0.6176</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0.2206***</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(0.3067)</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(0.1248)</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Sari </w:t>
            </w:r>
            <w:proofErr w:type="spellStart"/>
            <w:r w:rsidRPr="00AA7F35">
              <w:rPr>
                <w:rFonts w:eastAsia="Times New Roman"/>
                <w:color w:val="000000"/>
                <w:sz w:val="22"/>
                <w:szCs w:val="22"/>
              </w:rPr>
              <w:t>Pul</w:t>
            </w:r>
            <w:proofErr w:type="spellEnd"/>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0.5424</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0.2451*</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(0.4640)</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(0.2085)</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Kunduz</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0.6538</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0.7461</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(0.4426)</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(0.5391)</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w:t>
            </w:r>
            <w:proofErr w:type="spellStart"/>
            <w:r w:rsidRPr="00AA7F35">
              <w:rPr>
                <w:rFonts w:eastAsia="Times New Roman"/>
                <w:color w:val="000000"/>
                <w:sz w:val="22"/>
                <w:szCs w:val="22"/>
              </w:rPr>
              <w:t>Takhar</w:t>
            </w:r>
            <w:proofErr w:type="spellEnd"/>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2.3074</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1.2984</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(1.4056)</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(0.8226)</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Helmand</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0.9170</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1.3509</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(0.4750)</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(0.7123)</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Kandahar</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0.5688</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0.7857</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(0.3016)</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(0.4143)</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w:t>
            </w:r>
            <w:proofErr w:type="spellStart"/>
            <w:r w:rsidRPr="00AA7F35">
              <w:rPr>
                <w:rFonts w:eastAsia="Times New Roman"/>
                <w:color w:val="000000"/>
                <w:sz w:val="22"/>
                <w:szCs w:val="22"/>
              </w:rPr>
              <w:t>Paktya</w:t>
            </w:r>
            <w:proofErr w:type="spellEnd"/>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2.1580</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1.3834</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(1.4179)</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(0.9172)</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xml:space="preserve">    H</w:t>
            </w:r>
            <w:r w:rsidR="004D1EA1">
              <w:rPr>
                <w:rFonts w:eastAsia="Times New Roman"/>
                <w:color w:val="000000"/>
                <w:sz w:val="22"/>
                <w:szCs w:val="22"/>
              </w:rPr>
              <w:t>e</w:t>
            </w:r>
            <w:r w:rsidRPr="00AA7F35">
              <w:rPr>
                <w:rFonts w:eastAsia="Times New Roman"/>
                <w:color w:val="000000"/>
                <w:sz w:val="22"/>
                <w:szCs w:val="22"/>
              </w:rPr>
              <w:t>rat</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AA7F35" w:rsidRPr="00D25E1E" w:rsidRDefault="00AA7F35" w:rsidP="00832FF8">
            <w:pPr>
              <w:spacing w:line="240" w:lineRule="auto"/>
              <w:jc w:val="center"/>
              <w:rPr>
                <w:rFonts w:eastAsia="Times New Roman"/>
                <w:color w:val="000000"/>
                <w:sz w:val="20"/>
                <w:szCs w:val="20"/>
              </w:rPr>
            </w:pPr>
            <w:r w:rsidRPr="00D25E1E">
              <w:rPr>
                <w:rFonts w:eastAsia="Times New Roman"/>
                <w:color w:val="000000"/>
                <w:sz w:val="20"/>
                <w:szCs w:val="20"/>
              </w:rPr>
              <w:t>Reference</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p>
        </w:tc>
        <w:tc>
          <w:tcPr>
            <w:tcW w:w="632" w:type="pct"/>
            <w:tcBorders>
              <w:top w:val="nil"/>
              <w:left w:val="nil"/>
              <w:bottom w:val="nil"/>
              <w:right w:val="nil"/>
            </w:tcBorders>
            <w:shd w:val="clear" w:color="auto" w:fill="auto"/>
            <w:noWrap/>
            <w:vAlign w:val="center"/>
            <w:hideMark/>
          </w:tcPr>
          <w:p w:rsidR="00AA7F35" w:rsidRPr="00D25E1E" w:rsidRDefault="00AA7F35" w:rsidP="00832FF8">
            <w:pPr>
              <w:spacing w:line="240" w:lineRule="auto"/>
              <w:jc w:val="center"/>
              <w:rPr>
                <w:rFonts w:eastAsia="Times New Roman"/>
                <w:color w:val="000000"/>
                <w:sz w:val="20"/>
                <w:szCs w:val="20"/>
              </w:rPr>
            </w:pPr>
            <w:r w:rsidRPr="00D25E1E">
              <w:rPr>
                <w:rFonts w:eastAsia="Times New Roman"/>
                <w:color w:val="000000"/>
                <w:sz w:val="20"/>
                <w:szCs w:val="20"/>
              </w:rPr>
              <w:t>Reference</w:t>
            </w:r>
          </w:p>
        </w:tc>
      </w:tr>
      <w:tr w:rsidR="00AA7F35" w:rsidRPr="00AA7F35" w:rsidTr="00832FF8">
        <w:trPr>
          <w:trHeight w:val="317"/>
        </w:trPr>
        <w:tc>
          <w:tcPr>
            <w:tcW w:w="1203" w:type="pct"/>
            <w:tcBorders>
              <w:top w:val="nil"/>
              <w:left w:val="nil"/>
              <w:bottom w:val="single" w:sz="4" w:space="0" w:color="auto"/>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w:t>
            </w:r>
          </w:p>
        </w:tc>
        <w:tc>
          <w:tcPr>
            <w:tcW w:w="633" w:type="pct"/>
            <w:tcBorders>
              <w:top w:val="nil"/>
              <w:left w:val="nil"/>
              <w:bottom w:val="single" w:sz="4" w:space="0" w:color="auto"/>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 </w:t>
            </w:r>
          </w:p>
        </w:tc>
        <w:tc>
          <w:tcPr>
            <w:tcW w:w="633" w:type="pct"/>
            <w:tcBorders>
              <w:top w:val="nil"/>
              <w:left w:val="nil"/>
              <w:bottom w:val="single" w:sz="4" w:space="0" w:color="auto"/>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 </w:t>
            </w:r>
          </w:p>
        </w:tc>
        <w:tc>
          <w:tcPr>
            <w:tcW w:w="633" w:type="pct"/>
            <w:tcBorders>
              <w:top w:val="nil"/>
              <w:left w:val="nil"/>
              <w:bottom w:val="single" w:sz="4" w:space="0" w:color="auto"/>
              <w:right w:val="single" w:sz="4" w:space="0" w:color="auto"/>
            </w:tcBorders>
            <w:shd w:val="clear" w:color="auto" w:fill="auto"/>
            <w:noWrap/>
            <w:vAlign w:val="center"/>
            <w:hideMark/>
          </w:tcPr>
          <w:p w:rsidR="00AA7F35" w:rsidRPr="00D25E1E" w:rsidRDefault="00AA7F35" w:rsidP="00832FF8">
            <w:pPr>
              <w:spacing w:line="240" w:lineRule="auto"/>
              <w:jc w:val="center"/>
              <w:rPr>
                <w:rFonts w:eastAsia="Times New Roman"/>
                <w:color w:val="000000"/>
                <w:sz w:val="20"/>
                <w:szCs w:val="20"/>
              </w:rPr>
            </w:pPr>
            <w:r w:rsidRPr="00D25E1E">
              <w:rPr>
                <w:rFonts w:eastAsia="Times New Roman"/>
                <w:color w:val="000000"/>
                <w:sz w:val="20"/>
                <w:szCs w:val="20"/>
              </w:rPr>
              <w:t>(.)</w:t>
            </w:r>
          </w:p>
        </w:tc>
        <w:tc>
          <w:tcPr>
            <w:tcW w:w="633" w:type="pct"/>
            <w:tcBorders>
              <w:top w:val="nil"/>
              <w:left w:val="nil"/>
              <w:bottom w:val="single" w:sz="4" w:space="0" w:color="auto"/>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 </w:t>
            </w:r>
          </w:p>
        </w:tc>
        <w:tc>
          <w:tcPr>
            <w:tcW w:w="633" w:type="pct"/>
            <w:tcBorders>
              <w:top w:val="nil"/>
              <w:left w:val="nil"/>
              <w:bottom w:val="single" w:sz="4" w:space="0" w:color="auto"/>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 </w:t>
            </w:r>
          </w:p>
        </w:tc>
        <w:tc>
          <w:tcPr>
            <w:tcW w:w="632" w:type="pct"/>
            <w:tcBorders>
              <w:top w:val="nil"/>
              <w:left w:val="nil"/>
              <w:bottom w:val="single" w:sz="4" w:space="0" w:color="auto"/>
              <w:right w:val="nil"/>
            </w:tcBorders>
            <w:shd w:val="clear" w:color="auto" w:fill="auto"/>
            <w:noWrap/>
            <w:vAlign w:val="center"/>
            <w:hideMark/>
          </w:tcPr>
          <w:p w:rsidR="00AA7F35" w:rsidRPr="00D25E1E" w:rsidRDefault="00AA7F35" w:rsidP="00832FF8">
            <w:pPr>
              <w:spacing w:line="240" w:lineRule="auto"/>
              <w:jc w:val="center"/>
              <w:rPr>
                <w:rFonts w:eastAsia="Times New Roman"/>
                <w:color w:val="000000"/>
                <w:sz w:val="20"/>
                <w:szCs w:val="20"/>
              </w:rPr>
            </w:pPr>
            <w:r w:rsidRPr="00D25E1E">
              <w:rPr>
                <w:rFonts w:eastAsia="Times New Roman"/>
                <w:color w:val="000000"/>
                <w:sz w:val="20"/>
                <w:szCs w:val="20"/>
              </w:rPr>
              <w:t>(.)</w:t>
            </w:r>
          </w:p>
        </w:tc>
      </w:tr>
      <w:tr w:rsidR="00AA7F35" w:rsidRPr="00AA7F35" w:rsidTr="00832FF8">
        <w:trPr>
          <w:trHeight w:val="317"/>
        </w:trPr>
        <w:tc>
          <w:tcPr>
            <w:tcW w:w="120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Constant</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1.7986***</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21.7132***</w:t>
            </w:r>
          </w:p>
        </w:tc>
        <w:tc>
          <w:tcPr>
            <w:tcW w:w="633" w:type="pct"/>
            <w:tcBorders>
              <w:top w:val="nil"/>
              <w:left w:val="nil"/>
              <w:bottom w:val="nil"/>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16.4887***</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1.4444***</w:t>
            </w:r>
          </w:p>
        </w:tc>
        <w:tc>
          <w:tcPr>
            <w:tcW w:w="633"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97.4346***</w:t>
            </w:r>
          </w:p>
        </w:tc>
        <w:tc>
          <w:tcPr>
            <w:tcW w:w="632" w:type="pct"/>
            <w:tcBorders>
              <w:top w:val="nil"/>
              <w:left w:val="nil"/>
              <w:bottom w:val="nil"/>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96.4635***</w:t>
            </w:r>
          </w:p>
        </w:tc>
      </w:tr>
      <w:tr w:rsidR="00AA7F35" w:rsidRPr="00AA7F35" w:rsidTr="00832FF8">
        <w:trPr>
          <w:trHeight w:val="317"/>
        </w:trPr>
        <w:tc>
          <w:tcPr>
            <w:tcW w:w="1203" w:type="pct"/>
            <w:tcBorders>
              <w:top w:val="nil"/>
              <w:left w:val="nil"/>
              <w:bottom w:val="single" w:sz="4" w:space="0" w:color="auto"/>
              <w:right w:val="nil"/>
            </w:tcBorders>
            <w:shd w:val="clear" w:color="auto" w:fill="auto"/>
            <w:noWrap/>
            <w:vAlign w:val="center"/>
            <w:hideMark/>
          </w:tcPr>
          <w:p w:rsidR="00AA7F35" w:rsidRPr="00AA7F35" w:rsidRDefault="00AA7F35" w:rsidP="00832FF8">
            <w:pPr>
              <w:spacing w:line="240" w:lineRule="auto"/>
              <w:rPr>
                <w:rFonts w:eastAsia="Times New Roman"/>
                <w:color w:val="000000"/>
                <w:sz w:val="22"/>
                <w:szCs w:val="22"/>
              </w:rPr>
            </w:pPr>
            <w:r w:rsidRPr="00AA7F35">
              <w:rPr>
                <w:rFonts w:eastAsia="Times New Roman"/>
                <w:color w:val="000000"/>
                <w:sz w:val="22"/>
                <w:szCs w:val="22"/>
              </w:rPr>
              <w:t> </w:t>
            </w:r>
          </w:p>
        </w:tc>
        <w:tc>
          <w:tcPr>
            <w:tcW w:w="633" w:type="pct"/>
            <w:tcBorders>
              <w:top w:val="nil"/>
              <w:left w:val="nil"/>
              <w:bottom w:val="single" w:sz="4" w:space="0" w:color="auto"/>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(0.1871)</w:t>
            </w:r>
          </w:p>
        </w:tc>
        <w:tc>
          <w:tcPr>
            <w:tcW w:w="633" w:type="pct"/>
            <w:tcBorders>
              <w:top w:val="nil"/>
              <w:left w:val="nil"/>
              <w:bottom w:val="single" w:sz="4" w:space="0" w:color="auto"/>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(18.3901)</w:t>
            </w:r>
          </w:p>
        </w:tc>
        <w:tc>
          <w:tcPr>
            <w:tcW w:w="633" w:type="pct"/>
            <w:tcBorders>
              <w:top w:val="nil"/>
              <w:left w:val="nil"/>
              <w:bottom w:val="single" w:sz="4" w:space="0" w:color="auto"/>
              <w:right w:val="single" w:sz="4" w:space="0" w:color="auto"/>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(15.9536)</w:t>
            </w:r>
          </w:p>
        </w:tc>
        <w:tc>
          <w:tcPr>
            <w:tcW w:w="633" w:type="pct"/>
            <w:tcBorders>
              <w:top w:val="nil"/>
              <w:left w:val="nil"/>
              <w:bottom w:val="single" w:sz="4" w:space="0" w:color="auto"/>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(0.1567)</w:t>
            </w:r>
          </w:p>
        </w:tc>
        <w:tc>
          <w:tcPr>
            <w:tcW w:w="633" w:type="pct"/>
            <w:tcBorders>
              <w:top w:val="nil"/>
              <w:left w:val="nil"/>
              <w:bottom w:val="single" w:sz="4" w:space="0" w:color="auto"/>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(88.8345)</w:t>
            </w:r>
          </w:p>
        </w:tc>
        <w:tc>
          <w:tcPr>
            <w:tcW w:w="632" w:type="pct"/>
            <w:tcBorders>
              <w:top w:val="nil"/>
              <w:left w:val="nil"/>
              <w:bottom w:val="single" w:sz="4" w:space="0" w:color="auto"/>
              <w:right w:val="nil"/>
            </w:tcBorders>
            <w:shd w:val="clear" w:color="auto" w:fill="auto"/>
            <w:noWrap/>
            <w:vAlign w:val="center"/>
            <w:hideMark/>
          </w:tcPr>
          <w:p w:rsidR="00AA7F35" w:rsidRPr="00AA7F35" w:rsidRDefault="00AA7F35" w:rsidP="00832FF8">
            <w:pPr>
              <w:spacing w:line="240" w:lineRule="auto"/>
              <w:jc w:val="center"/>
              <w:rPr>
                <w:rFonts w:eastAsia="Times New Roman"/>
                <w:color w:val="000000"/>
                <w:sz w:val="22"/>
                <w:szCs w:val="22"/>
              </w:rPr>
            </w:pPr>
            <w:r w:rsidRPr="00AA7F35">
              <w:rPr>
                <w:rFonts w:eastAsia="Times New Roman"/>
                <w:color w:val="000000"/>
                <w:sz w:val="22"/>
                <w:szCs w:val="22"/>
              </w:rPr>
              <w:t>(98.9842)</w:t>
            </w:r>
          </w:p>
        </w:tc>
      </w:tr>
      <w:tr w:rsidR="00C437E1" w:rsidRPr="00AA7F35" w:rsidTr="00832FF8">
        <w:trPr>
          <w:trHeight w:val="317"/>
        </w:trPr>
        <w:tc>
          <w:tcPr>
            <w:tcW w:w="1203" w:type="pct"/>
            <w:tcBorders>
              <w:top w:val="nil"/>
              <w:left w:val="nil"/>
              <w:bottom w:val="nil"/>
              <w:right w:val="nil"/>
            </w:tcBorders>
            <w:shd w:val="clear" w:color="auto" w:fill="auto"/>
            <w:noWrap/>
            <w:vAlign w:val="center"/>
            <w:hideMark/>
          </w:tcPr>
          <w:p w:rsidR="00C437E1" w:rsidRPr="00AA7F35" w:rsidRDefault="00C437E1" w:rsidP="00832FF8">
            <w:pPr>
              <w:spacing w:line="240" w:lineRule="auto"/>
              <w:rPr>
                <w:rFonts w:eastAsia="Times New Roman"/>
                <w:color w:val="000000"/>
                <w:sz w:val="22"/>
                <w:szCs w:val="22"/>
              </w:rPr>
            </w:pPr>
            <w:r w:rsidRPr="00AA7F35">
              <w:rPr>
                <w:rFonts w:eastAsia="Times New Roman"/>
                <w:color w:val="000000"/>
                <w:sz w:val="22"/>
                <w:szCs w:val="22"/>
              </w:rPr>
              <w:t>Adj. R-Squared</w:t>
            </w:r>
          </w:p>
        </w:tc>
        <w:tc>
          <w:tcPr>
            <w:tcW w:w="633" w:type="pct"/>
            <w:tcBorders>
              <w:top w:val="nil"/>
              <w:left w:val="nil"/>
              <w:bottom w:val="nil"/>
              <w:right w:val="nil"/>
            </w:tcBorders>
            <w:shd w:val="clear" w:color="auto" w:fill="auto"/>
            <w:noWrap/>
            <w:vAlign w:val="center"/>
            <w:hideMark/>
          </w:tcPr>
          <w:p w:rsidR="00C437E1" w:rsidRPr="00AA7F35" w:rsidRDefault="00C437E1" w:rsidP="00832FF8">
            <w:pPr>
              <w:spacing w:line="240" w:lineRule="auto"/>
              <w:jc w:val="center"/>
              <w:rPr>
                <w:rFonts w:eastAsia="Times New Roman"/>
                <w:color w:val="000000"/>
                <w:sz w:val="22"/>
                <w:szCs w:val="22"/>
              </w:rPr>
            </w:pPr>
            <w:r w:rsidRPr="00AA7F35">
              <w:rPr>
                <w:rFonts w:eastAsia="Times New Roman"/>
                <w:color w:val="000000"/>
                <w:sz w:val="22"/>
                <w:szCs w:val="22"/>
              </w:rPr>
              <w:t>0.0080</w:t>
            </w:r>
          </w:p>
        </w:tc>
        <w:tc>
          <w:tcPr>
            <w:tcW w:w="633" w:type="pct"/>
            <w:tcBorders>
              <w:top w:val="nil"/>
              <w:left w:val="nil"/>
              <w:bottom w:val="nil"/>
              <w:right w:val="nil"/>
            </w:tcBorders>
            <w:shd w:val="clear" w:color="auto" w:fill="auto"/>
            <w:noWrap/>
            <w:vAlign w:val="center"/>
            <w:hideMark/>
          </w:tcPr>
          <w:p w:rsidR="00C437E1" w:rsidRPr="00AA7F35" w:rsidRDefault="00C437E1" w:rsidP="00832FF8">
            <w:pPr>
              <w:spacing w:line="240" w:lineRule="auto"/>
              <w:jc w:val="center"/>
              <w:rPr>
                <w:rFonts w:eastAsia="Times New Roman"/>
                <w:color w:val="000000"/>
                <w:sz w:val="22"/>
                <w:szCs w:val="22"/>
              </w:rPr>
            </w:pPr>
            <w:r w:rsidRPr="00AA7F35">
              <w:rPr>
                <w:rFonts w:eastAsia="Times New Roman"/>
                <w:color w:val="000000"/>
                <w:sz w:val="22"/>
                <w:szCs w:val="22"/>
              </w:rPr>
              <w:t>0.0533</w:t>
            </w:r>
          </w:p>
        </w:tc>
        <w:tc>
          <w:tcPr>
            <w:tcW w:w="633" w:type="pct"/>
            <w:tcBorders>
              <w:top w:val="nil"/>
              <w:left w:val="nil"/>
              <w:bottom w:val="nil"/>
              <w:right w:val="single" w:sz="4" w:space="0" w:color="auto"/>
            </w:tcBorders>
            <w:shd w:val="clear" w:color="auto" w:fill="auto"/>
            <w:noWrap/>
            <w:vAlign w:val="center"/>
            <w:hideMark/>
          </w:tcPr>
          <w:p w:rsidR="00C437E1" w:rsidRPr="00AA7F35" w:rsidRDefault="00C437E1" w:rsidP="00832FF8">
            <w:pPr>
              <w:spacing w:line="240" w:lineRule="auto"/>
              <w:jc w:val="center"/>
              <w:rPr>
                <w:rFonts w:eastAsia="Times New Roman"/>
                <w:color w:val="000000"/>
                <w:sz w:val="22"/>
                <w:szCs w:val="22"/>
              </w:rPr>
            </w:pPr>
            <w:r w:rsidRPr="00AA7F35">
              <w:rPr>
                <w:rFonts w:eastAsia="Times New Roman"/>
                <w:color w:val="000000"/>
                <w:sz w:val="22"/>
                <w:szCs w:val="22"/>
              </w:rPr>
              <w:t>0.0823</w:t>
            </w:r>
          </w:p>
        </w:tc>
        <w:tc>
          <w:tcPr>
            <w:tcW w:w="633" w:type="pct"/>
            <w:tcBorders>
              <w:top w:val="nil"/>
              <w:left w:val="nil"/>
              <w:bottom w:val="nil"/>
              <w:right w:val="nil"/>
            </w:tcBorders>
            <w:shd w:val="clear" w:color="auto" w:fill="auto"/>
            <w:noWrap/>
            <w:vAlign w:val="center"/>
            <w:hideMark/>
          </w:tcPr>
          <w:p w:rsidR="00C437E1" w:rsidRPr="00AA7F35" w:rsidRDefault="00C437E1" w:rsidP="00E762A3">
            <w:pPr>
              <w:spacing w:line="240" w:lineRule="auto"/>
              <w:jc w:val="center"/>
              <w:rPr>
                <w:rFonts w:eastAsia="Times New Roman"/>
                <w:color w:val="000000"/>
                <w:sz w:val="22"/>
                <w:szCs w:val="22"/>
              </w:rPr>
            </w:pPr>
            <w:r w:rsidRPr="00AA7F35">
              <w:rPr>
                <w:rFonts w:eastAsia="Times New Roman"/>
                <w:color w:val="000000"/>
                <w:sz w:val="22"/>
                <w:szCs w:val="22"/>
              </w:rPr>
              <w:t>0.0080</w:t>
            </w:r>
          </w:p>
        </w:tc>
        <w:tc>
          <w:tcPr>
            <w:tcW w:w="633" w:type="pct"/>
            <w:tcBorders>
              <w:top w:val="nil"/>
              <w:left w:val="nil"/>
              <w:bottom w:val="nil"/>
              <w:right w:val="nil"/>
            </w:tcBorders>
            <w:shd w:val="clear" w:color="auto" w:fill="auto"/>
            <w:noWrap/>
            <w:vAlign w:val="center"/>
            <w:hideMark/>
          </w:tcPr>
          <w:p w:rsidR="00C437E1" w:rsidRPr="00AA7F35" w:rsidRDefault="00C437E1" w:rsidP="00E762A3">
            <w:pPr>
              <w:spacing w:line="240" w:lineRule="auto"/>
              <w:jc w:val="center"/>
              <w:rPr>
                <w:rFonts w:eastAsia="Times New Roman"/>
                <w:color w:val="000000"/>
                <w:sz w:val="22"/>
                <w:szCs w:val="22"/>
              </w:rPr>
            </w:pPr>
            <w:r w:rsidRPr="00AA7F35">
              <w:rPr>
                <w:rFonts w:eastAsia="Times New Roman"/>
                <w:color w:val="000000"/>
                <w:sz w:val="22"/>
                <w:szCs w:val="22"/>
              </w:rPr>
              <w:t>0.0533</w:t>
            </w:r>
          </w:p>
        </w:tc>
        <w:tc>
          <w:tcPr>
            <w:tcW w:w="632" w:type="pct"/>
            <w:tcBorders>
              <w:top w:val="nil"/>
              <w:left w:val="nil"/>
              <w:bottom w:val="nil"/>
              <w:right w:val="nil"/>
            </w:tcBorders>
            <w:shd w:val="clear" w:color="auto" w:fill="auto"/>
            <w:noWrap/>
            <w:vAlign w:val="center"/>
            <w:hideMark/>
          </w:tcPr>
          <w:p w:rsidR="00C437E1" w:rsidRPr="00AA7F35" w:rsidRDefault="00C437E1" w:rsidP="00E762A3">
            <w:pPr>
              <w:spacing w:line="240" w:lineRule="auto"/>
              <w:jc w:val="center"/>
              <w:rPr>
                <w:rFonts w:eastAsia="Times New Roman"/>
                <w:color w:val="000000"/>
                <w:sz w:val="22"/>
                <w:szCs w:val="22"/>
              </w:rPr>
            </w:pPr>
            <w:r w:rsidRPr="00AA7F35">
              <w:rPr>
                <w:rFonts w:eastAsia="Times New Roman"/>
                <w:color w:val="000000"/>
                <w:sz w:val="22"/>
                <w:szCs w:val="22"/>
              </w:rPr>
              <w:t>0.0823</w:t>
            </w:r>
          </w:p>
        </w:tc>
      </w:tr>
      <w:tr w:rsidR="00C437E1" w:rsidRPr="00AA7F35" w:rsidTr="00832FF8">
        <w:trPr>
          <w:trHeight w:val="317"/>
        </w:trPr>
        <w:tc>
          <w:tcPr>
            <w:tcW w:w="1203" w:type="pct"/>
            <w:tcBorders>
              <w:top w:val="nil"/>
              <w:left w:val="nil"/>
              <w:bottom w:val="single" w:sz="4" w:space="0" w:color="auto"/>
              <w:right w:val="nil"/>
            </w:tcBorders>
            <w:shd w:val="clear" w:color="auto" w:fill="auto"/>
            <w:noWrap/>
            <w:vAlign w:val="center"/>
            <w:hideMark/>
          </w:tcPr>
          <w:p w:rsidR="00C437E1" w:rsidRPr="00AA7F35" w:rsidRDefault="00C437E1" w:rsidP="00832FF8">
            <w:pPr>
              <w:spacing w:line="240" w:lineRule="auto"/>
              <w:rPr>
                <w:rFonts w:eastAsia="Times New Roman"/>
                <w:color w:val="000000"/>
                <w:sz w:val="22"/>
                <w:szCs w:val="22"/>
              </w:rPr>
            </w:pPr>
            <w:r w:rsidRPr="00AA7F35">
              <w:rPr>
                <w:rFonts w:eastAsia="Times New Roman"/>
                <w:color w:val="000000"/>
                <w:sz w:val="22"/>
                <w:szCs w:val="22"/>
              </w:rPr>
              <w:t>N</w:t>
            </w:r>
          </w:p>
        </w:tc>
        <w:tc>
          <w:tcPr>
            <w:tcW w:w="633" w:type="pct"/>
            <w:tcBorders>
              <w:top w:val="nil"/>
              <w:left w:val="nil"/>
              <w:bottom w:val="single" w:sz="4" w:space="0" w:color="auto"/>
              <w:right w:val="nil"/>
            </w:tcBorders>
            <w:shd w:val="clear" w:color="auto" w:fill="auto"/>
            <w:noWrap/>
            <w:vAlign w:val="center"/>
            <w:hideMark/>
          </w:tcPr>
          <w:p w:rsidR="00C437E1" w:rsidRPr="00AA7F35" w:rsidRDefault="00C437E1" w:rsidP="00832FF8">
            <w:pPr>
              <w:spacing w:line="240" w:lineRule="auto"/>
              <w:jc w:val="center"/>
              <w:rPr>
                <w:rFonts w:eastAsia="Times New Roman"/>
                <w:color w:val="000000"/>
                <w:sz w:val="22"/>
                <w:szCs w:val="22"/>
              </w:rPr>
            </w:pPr>
            <w:r w:rsidRPr="00AA7F35">
              <w:rPr>
                <w:rFonts w:eastAsia="Times New Roman"/>
                <w:color w:val="000000"/>
                <w:sz w:val="22"/>
                <w:szCs w:val="22"/>
              </w:rPr>
              <w:t>1020</w:t>
            </w:r>
          </w:p>
        </w:tc>
        <w:tc>
          <w:tcPr>
            <w:tcW w:w="633" w:type="pct"/>
            <w:tcBorders>
              <w:top w:val="nil"/>
              <w:left w:val="nil"/>
              <w:bottom w:val="single" w:sz="4" w:space="0" w:color="auto"/>
              <w:right w:val="nil"/>
            </w:tcBorders>
            <w:shd w:val="clear" w:color="auto" w:fill="auto"/>
            <w:noWrap/>
            <w:vAlign w:val="center"/>
            <w:hideMark/>
          </w:tcPr>
          <w:p w:rsidR="00C437E1" w:rsidRPr="00AA7F35" w:rsidRDefault="00C437E1" w:rsidP="00832FF8">
            <w:pPr>
              <w:spacing w:line="240" w:lineRule="auto"/>
              <w:jc w:val="center"/>
              <w:rPr>
                <w:rFonts w:eastAsia="Times New Roman"/>
                <w:color w:val="000000"/>
                <w:sz w:val="22"/>
                <w:szCs w:val="22"/>
              </w:rPr>
            </w:pPr>
            <w:r w:rsidRPr="00AA7F35">
              <w:rPr>
                <w:rFonts w:eastAsia="Times New Roman"/>
                <w:color w:val="000000"/>
                <w:sz w:val="22"/>
                <w:szCs w:val="22"/>
              </w:rPr>
              <w:t>1020</w:t>
            </w:r>
          </w:p>
        </w:tc>
        <w:tc>
          <w:tcPr>
            <w:tcW w:w="633" w:type="pct"/>
            <w:tcBorders>
              <w:top w:val="nil"/>
              <w:left w:val="nil"/>
              <w:bottom w:val="single" w:sz="4" w:space="0" w:color="auto"/>
              <w:right w:val="single" w:sz="4" w:space="0" w:color="auto"/>
            </w:tcBorders>
            <w:shd w:val="clear" w:color="auto" w:fill="auto"/>
            <w:noWrap/>
            <w:vAlign w:val="center"/>
            <w:hideMark/>
          </w:tcPr>
          <w:p w:rsidR="00C437E1" w:rsidRPr="00AA7F35" w:rsidRDefault="00C437E1" w:rsidP="00832FF8">
            <w:pPr>
              <w:spacing w:line="240" w:lineRule="auto"/>
              <w:jc w:val="center"/>
              <w:rPr>
                <w:rFonts w:eastAsia="Times New Roman"/>
                <w:color w:val="000000"/>
                <w:sz w:val="22"/>
                <w:szCs w:val="22"/>
              </w:rPr>
            </w:pPr>
            <w:r w:rsidRPr="00AA7F35">
              <w:rPr>
                <w:rFonts w:eastAsia="Times New Roman"/>
                <w:color w:val="000000"/>
                <w:sz w:val="22"/>
                <w:szCs w:val="22"/>
              </w:rPr>
              <w:t>1020</w:t>
            </w:r>
          </w:p>
        </w:tc>
        <w:tc>
          <w:tcPr>
            <w:tcW w:w="633" w:type="pct"/>
            <w:tcBorders>
              <w:top w:val="nil"/>
              <w:left w:val="nil"/>
              <w:bottom w:val="single" w:sz="4" w:space="0" w:color="auto"/>
              <w:right w:val="nil"/>
            </w:tcBorders>
            <w:shd w:val="clear" w:color="auto" w:fill="auto"/>
            <w:noWrap/>
            <w:vAlign w:val="center"/>
            <w:hideMark/>
          </w:tcPr>
          <w:p w:rsidR="00C437E1" w:rsidRPr="00AA7F35" w:rsidRDefault="00C437E1" w:rsidP="00E762A3">
            <w:pPr>
              <w:spacing w:line="240" w:lineRule="auto"/>
              <w:jc w:val="center"/>
              <w:rPr>
                <w:rFonts w:eastAsia="Times New Roman"/>
                <w:color w:val="000000"/>
                <w:sz w:val="22"/>
                <w:szCs w:val="22"/>
              </w:rPr>
            </w:pPr>
            <w:r w:rsidRPr="00AA7F35">
              <w:rPr>
                <w:rFonts w:eastAsia="Times New Roman"/>
                <w:color w:val="000000"/>
                <w:sz w:val="22"/>
                <w:szCs w:val="22"/>
              </w:rPr>
              <w:t>1020</w:t>
            </w:r>
          </w:p>
        </w:tc>
        <w:tc>
          <w:tcPr>
            <w:tcW w:w="633" w:type="pct"/>
            <w:tcBorders>
              <w:top w:val="nil"/>
              <w:left w:val="nil"/>
              <w:bottom w:val="single" w:sz="4" w:space="0" w:color="auto"/>
              <w:right w:val="nil"/>
            </w:tcBorders>
            <w:shd w:val="clear" w:color="auto" w:fill="auto"/>
            <w:noWrap/>
            <w:vAlign w:val="center"/>
            <w:hideMark/>
          </w:tcPr>
          <w:p w:rsidR="00C437E1" w:rsidRPr="00AA7F35" w:rsidRDefault="00C437E1" w:rsidP="00E762A3">
            <w:pPr>
              <w:spacing w:line="240" w:lineRule="auto"/>
              <w:jc w:val="center"/>
              <w:rPr>
                <w:rFonts w:eastAsia="Times New Roman"/>
                <w:color w:val="000000"/>
                <w:sz w:val="22"/>
                <w:szCs w:val="22"/>
              </w:rPr>
            </w:pPr>
            <w:r w:rsidRPr="00AA7F35">
              <w:rPr>
                <w:rFonts w:eastAsia="Times New Roman"/>
                <w:color w:val="000000"/>
                <w:sz w:val="22"/>
                <w:szCs w:val="22"/>
              </w:rPr>
              <w:t>1020</w:t>
            </w:r>
          </w:p>
        </w:tc>
        <w:tc>
          <w:tcPr>
            <w:tcW w:w="632" w:type="pct"/>
            <w:tcBorders>
              <w:top w:val="nil"/>
              <w:left w:val="nil"/>
              <w:bottom w:val="single" w:sz="4" w:space="0" w:color="auto"/>
              <w:right w:val="nil"/>
            </w:tcBorders>
            <w:shd w:val="clear" w:color="auto" w:fill="auto"/>
            <w:noWrap/>
            <w:vAlign w:val="center"/>
            <w:hideMark/>
          </w:tcPr>
          <w:p w:rsidR="00C437E1" w:rsidRPr="00AA7F35" w:rsidRDefault="00C437E1" w:rsidP="00E762A3">
            <w:pPr>
              <w:spacing w:line="240" w:lineRule="auto"/>
              <w:jc w:val="center"/>
              <w:rPr>
                <w:rFonts w:eastAsia="Times New Roman"/>
                <w:color w:val="000000"/>
                <w:sz w:val="22"/>
                <w:szCs w:val="22"/>
              </w:rPr>
            </w:pPr>
            <w:r w:rsidRPr="00AA7F35">
              <w:rPr>
                <w:rFonts w:eastAsia="Times New Roman"/>
                <w:color w:val="000000"/>
                <w:sz w:val="22"/>
                <w:szCs w:val="22"/>
              </w:rPr>
              <w:t>1020</w:t>
            </w:r>
          </w:p>
        </w:tc>
      </w:tr>
      <w:tr w:rsidR="00C437E1" w:rsidRPr="00AA7F35" w:rsidTr="00832FF8">
        <w:trPr>
          <w:trHeight w:val="317"/>
        </w:trPr>
        <w:tc>
          <w:tcPr>
            <w:tcW w:w="5000" w:type="pct"/>
            <w:gridSpan w:val="7"/>
            <w:tcBorders>
              <w:top w:val="single" w:sz="4" w:space="0" w:color="auto"/>
              <w:left w:val="nil"/>
              <w:bottom w:val="nil"/>
              <w:right w:val="nil"/>
            </w:tcBorders>
            <w:shd w:val="clear" w:color="auto" w:fill="auto"/>
            <w:noWrap/>
            <w:vAlign w:val="center"/>
            <w:hideMark/>
          </w:tcPr>
          <w:p w:rsidR="00C437E1" w:rsidRPr="00AA7F35" w:rsidRDefault="00C437E1" w:rsidP="00832FF8">
            <w:pPr>
              <w:spacing w:line="240" w:lineRule="auto"/>
              <w:rPr>
                <w:rFonts w:eastAsia="Times New Roman"/>
                <w:i/>
                <w:iCs/>
                <w:color w:val="000000"/>
                <w:sz w:val="20"/>
                <w:szCs w:val="20"/>
              </w:rPr>
            </w:pPr>
            <w:r w:rsidRPr="00F74E3C">
              <w:rPr>
                <w:rFonts w:eastAsia="Times New Roman"/>
                <w:iCs/>
                <w:color w:val="000000"/>
                <w:sz w:val="20"/>
                <w:szCs w:val="20"/>
              </w:rPr>
              <w:t>Note</w:t>
            </w:r>
            <w:r w:rsidRPr="00AA7F35">
              <w:rPr>
                <w:rFonts w:eastAsia="Times New Roman"/>
                <w:color w:val="000000"/>
                <w:sz w:val="20"/>
                <w:szCs w:val="20"/>
              </w:rPr>
              <w:t>: * p&lt;0.10, ** p&lt;0.05, *** p&lt;0.01.</w:t>
            </w:r>
          </w:p>
        </w:tc>
      </w:tr>
    </w:tbl>
    <w:p w:rsidR="00A51588" w:rsidRDefault="00A51588">
      <w:pPr>
        <w:spacing w:line="240" w:lineRule="auto"/>
      </w:pPr>
      <w:r>
        <w:br w:type="page"/>
      </w:r>
    </w:p>
    <w:tbl>
      <w:tblPr>
        <w:tblW w:w="5000" w:type="pct"/>
        <w:tblLook w:val="04A0" w:firstRow="1" w:lastRow="0" w:firstColumn="1" w:lastColumn="0" w:noHBand="0" w:noVBand="1"/>
      </w:tblPr>
      <w:tblGrid>
        <w:gridCol w:w="2226"/>
        <w:gridCol w:w="1225"/>
        <w:gridCol w:w="1225"/>
        <w:gridCol w:w="1225"/>
        <w:gridCol w:w="1225"/>
        <w:gridCol w:w="1225"/>
        <w:gridCol w:w="1225"/>
      </w:tblGrid>
      <w:tr w:rsidR="00C437E1" w:rsidRPr="002E2BA6" w:rsidTr="00C437E1">
        <w:trPr>
          <w:trHeight w:val="330"/>
        </w:trPr>
        <w:tc>
          <w:tcPr>
            <w:tcW w:w="5000" w:type="pct"/>
            <w:gridSpan w:val="7"/>
            <w:tcBorders>
              <w:top w:val="nil"/>
              <w:left w:val="nil"/>
              <w:bottom w:val="double" w:sz="6" w:space="0" w:color="auto"/>
              <w:right w:val="nil"/>
            </w:tcBorders>
            <w:shd w:val="clear" w:color="auto" w:fill="auto"/>
            <w:noWrap/>
            <w:vAlign w:val="center"/>
            <w:hideMark/>
          </w:tcPr>
          <w:p w:rsidR="00C437E1" w:rsidRPr="002E2BA6" w:rsidRDefault="00C437E1" w:rsidP="00C437E1">
            <w:pPr>
              <w:spacing w:line="240" w:lineRule="auto"/>
              <w:rPr>
                <w:rFonts w:eastAsia="Times New Roman"/>
                <w:color w:val="000000"/>
                <w:sz w:val="22"/>
                <w:szCs w:val="22"/>
              </w:rPr>
            </w:pPr>
            <w:r w:rsidRPr="002E2BA6">
              <w:rPr>
                <w:rFonts w:eastAsia="Times New Roman"/>
                <w:bCs/>
                <w:color w:val="000000"/>
              </w:rPr>
              <w:lastRenderedPageBreak/>
              <w:t>Table A4: Dietary Diversity</w:t>
            </w:r>
          </w:p>
        </w:tc>
      </w:tr>
      <w:tr w:rsidR="00C53DE9" w:rsidRPr="00C437E1" w:rsidTr="00C437E1">
        <w:trPr>
          <w:trHeight w:val="330"/>
        </w:trPr>
        <w:tc>
          <w:tcPr>
            <w:tcW w:w="1202" w:type="pct"/>
            <w:tcBorders>
              <w:top w:val="nil"/>
              <w:left w:val="nil"/>
              <w:bottom w:val="single" w:sz="4" w:space="0" w:color="auto"/>
              <w:right w:val="nil"/>
            </w:tcBorders>
            <w:shd w:val="clear" w:color="auto" w:fill="auto"/>
            <w:noWrap/>
            <w:vAlign w:val="center"/>
            <w:hideMark/>
          </w:tcPr>
          <w:p w:rsidR="00C53DE9" w:rsidRPr="00C437E1" w:rsidRDefault="00C53DE9" w:rsidP="00C53DE9">
            <w:pPr>
              <w:spacing w:line="240" w:lineRule="auto"/>
              <w:rPr>
                <w:rFonts w:eastAsia="Times New Roman"/>
                <w:b/>
                <w:bCs/>
                <w:color w:val="000000"/>
              </w:rPr>
            </w:pPr>
          </w:p>
        </w:tc>
        <w:tc>
          <w:tcPr>
            <w:tcW w:w="1899" w:type="pct"/>
            <w:gridSpan w:val="3"/>
            <w:tcBorders>
              <w:top w:val="double" w:sz="6" w:space="0" w:color="auto"/>
              <w:left w:val="nil"/>
              <w:bottom w:val="single" w:sz="4" w:space="0" w:color="auto"/>
              <w:right w:val="single" w:sz="4" w:space="0" w:color="000000"/>
            </w:tcBorders>
            <w:shd w:val="clear" w:color="auto" w:fill="auto"/>
            <w:noWrap/>
            <w:vAlign w:val="center"/>
            <w:hideMark/>
          </w:tcPr>
          <w:p w:rsidR="00C53DE9" w:rsidRPr="00C437E1" w:rsidRDefault="00C53DE9" w:rsidP="00C53DE9">
            <w:pPr>
              <w:spacing w:line="240" w:lineRule="auto"/>
              <w:jc w:val="center"/>
              <w:rPr>
                <w:rFonts w:eastAsia="Times New Roman"/>
                <w:color w:val="000000"/>
                <w:sz w:val="22"/>
                <w:szCs w:val="22"/>
              </w:rPr>
            </w:pPr>
            <w:r w:rsidRPr="00C437E1">
              <w:rPr>
                <w:rFonts w:eastAsia="Times New Roman"/>
                <w:color w:val="000000"/>
                <w:sz w:val="22"/>
                <w:szCs w:val="22"/>
              </w:rPr>
              <w:t>Probability of Eating Meat</w:t>
            </w:r>
          </w:p>
        </w:tc>
        <w:tc>
          <w:tcPr>
            <w:tcW w:w="1899" w:type="pct"/>
            <w:gridSpan w:val="3"/>
            <w:tcBorders>
              <w:top w:val="nil"/>
              <w:left w:val="nil"/>
              <w:bottom w:val="single" w:sz="4" w:space="0" w:color="auto"/>
              <w:right w:val="nil"/>
            </w:tcBorders>
            <w:shd w:val="clear" w:color="auto" w:fill="auto"/>
            <w:noWrap/>
            <w:vAlign w:val="center"/>
            <w:hideMark/>
          </w:tcPr>
          <w:p w:rsidR="00C53DE9" w:rsidRPr="00C437E1" w:rsidRDefault="00C53DE9" w:rsidP="00C437E1">
            <w:pPr>
              <w:spacing w:line="240" w:lineRule="auto"/>
              <w:jc w:val="center"/>
              <w:rPr>
                <w:rFonts w:eastAsia="Times New Roman"/>
                <w:color w:val="000000"/>
                <w:sz w:val="22"/>
                <w:szCs w:val="22"/>
              </w:rPr>
            </w:pPr>
            <w:r w:rsidRPr="00C437E1">
              <w:rPr>
                <w:rFonts w:eastAsia="Times New Roman"/>
                <w:color w:val="000000"/>
                <w:sz w:val="22"/>
                <w:szCs w:val="22"/>
              </w:rPr>
              <w:t xml:space="preserve">Number of Times </w:t>
            </w:r>
            <w:r w:rsidR="00C437E1">
              <w:rPr>
                <w:rFonts w:eastAsia="Times New Roman"/>
                <w:color w:val="000000"/>
                <w:sz w:val="22"/>
                <w:szCs w:val="22"/>
              </w:rPr>
              <w:t>Eating</w:t>
            </w:r>
            <w:r w:rsidRPr="00C437E1">
              <w:rPr>
                <w:rFonts w:eastAsia="Times New Roman"/>
                <w:color w:val="000000"/>
                <w:sz w:val="22"/>
                <w:szCs w:val="22"/>
              </w:rPr>
              <w:t xml:space="preserve"> Meat (if &gt; 0)</w:t>
            </w:r>
          </w:p>
        </w:tc>
      </w:tr>
      <w:tr w:rsidR="00C53DE9" w:rsidRPr="00C53DE9" w:rsidTr="00C437E1">
        <w:trPr>
          <w:trHeight w:val="300"/>
        </w:trPr>
        <w:tc>
          <w:tcPr>
            <w:tcW w:w="1202" w:type="pct"/>
            <w:tcBorders>
              <w:top w:val="single" w:sz="4" w:space="0" w:color="auto"/>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Internally Displaced</w:t>
            </w:r>
          </w:p>
        </w:tc>
        <w:tc>
          <w:tcPr>
            <w:tcW w:w="633" w:type="pct"/>
            <w:tcBorders>
              <w:top w:val="single" w:sz="4" w:space="0" w:color="auto"/>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-0.1186***</w:t>
            </w:r>
          </w:p>
        </w:tc>
        <w:tc>
          <w:tcPr>
            <w:tcW w:w="633" w:type="pct"/>
            <w:tcBorders>
              <w:top w:val="single" w:sz="4" w:space="0" w:color="auto"/>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-0.1161***</w:t>
            </w:r>
          </w:p>
        </w:tc>
        <w:tc>
          <w:tcPr>
            <w:tcW w:w="633" w:type="pct"/>
            <w:tcBorders>
              <w:top w:val="single" w:sz="4" w:space="0" w:color="auto"/>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-0.1700***</w:t>
            </w:r>
          </w:p>
        </w:tc>
        <w:tc>
          <w:tcPr>
            <w:tcW w:w="633" w:type="pct"/>
            <w:tcBorders>
              <w:top w:val="single" w:sz="4" w:space="0" w:color="auto"/>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-0.2419***</w:t>
            </w:r>
          </w:p>
        </w:tc>
        <w:tc>
          <w:tcPr>
            <w:tcW w:w="633" w:type="pct"/>
            <w:tcBorders>
              <w:top w:val="single" w:sz="4" w:space="0" w:color="auto"/>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-0.2189***</w:t>
            </w:r>
          </w:p>
        </w:tc>
        <w:tc>
          <w:tcPr>
            <w:tcW w:w="633" w:type="pct"/>
            <w:tcBorders>
              <w:top w:val="single" w:sz="4" w:space="0" w:color="auto"/>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-0.2986***</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(0.0270)</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(0.0286)</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(0.0331)</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(0.0558)</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(0.0556)</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(0.0599)</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Age of Respondent</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-0.0006</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-0.0004</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-0.0011</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-0.0007</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(0.0010)</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(0.0010)</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(0.0019)</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(0.0018)</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No Formal Education</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-0.0518</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-0.0406</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-0.1023</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-0.0745</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(0.0374)</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(0.0385)</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(0.0761)</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(0.0723)</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Married</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0.0573</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0.0845**</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0.1063</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0.1442**</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(0.0395)</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(0.0403)</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(0.0715)</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(0.0664)</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No. of Children</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0.0219***</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0.0141***</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0.0420***</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0.0253***</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(0.0047)</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(0.0053)</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(0.0087)</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(0.0093)</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Disabled</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-0.0675*</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-0.0670*</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-0.1253*</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-0.1164*</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(0.0371)</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(0.0381)</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(0.0660)</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(0.0636)</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Log of HH Income</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0.2340***</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0.2196***</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0.4482***</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0.3933***</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(0.0397)</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(0.0403)</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(0.0683)</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(0.0664)</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Received Assistance</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0.0136</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0.0570**</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0.0260</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0.1028**</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(0.0279)</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(0.0288)</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(0.0534)</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(0.0523)</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606983" w:rsidRDefault="00C53DE9" w:rsidP="00C53DE9">
            <w:pPr>
              <w:spacing w:line="240" w:lineRule="auto"/>
              <w:rPr>
                <w:rFonts w:eastAsia="Times New Roman"/>
                <w:iCs/>
                <w:color w:val="000000"/>
                <w:sz w:val="22"/>
                <w:szCs w:val="22"/>
              </w:rPr>
            </w:pPr>
            <w:r w:rsidRPr="00606983">
              <w:rPr>
                <w:rFonts w:eastAsia="Times New Roman"/>
                <w:iCs/>
                <w:color w:val="000000"/>
                <w:sz w:val="22"/>
                <w:szCs w:val="22"/>
              </w:rPr>
              <w:t>Ethnicity</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Pashtun</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0.1328***</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-0.0601</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0.2486***</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-0.1093</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(0.0348)</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(0.0475)</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(0.0663)</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(0.0879)</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Tajik</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0.0688</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0.0055</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0.1389</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0.0099</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(0.0506)</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(0.0579)</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(0.1079)</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(0.1045)</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Hazara</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-0.0632</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-0.1021</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-0.1159</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-0.1707</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(0.0606)</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(0.0728)</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(0.1067)</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(0.1145)</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Other</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Reference</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Reference</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Reference</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Reference</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w:t>
            </w: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Rural</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-0.2062***</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-0.4217***</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(0.0402)</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(0.0974)</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606983" w:rsidRDefault="00C53DE9" w:rsidP="00C53DE9">
            <w:pPr>
              <w:spacing w:line="240" w:lineRule="auto"/>
              <w:rPr>
                <w:rFonts w:eastAsia="Times New Roman"/>
                <w:iCs/>
                <w:color w:val="000000"/>
                <w:sz w:val="22"/>
                <w:szCs w:val="22"/>
              </w:rPr>
            </w:pPr>
            <w:r w:rsidRPr="00606983">
              <w:rPr>
                <w:rFonts w:eastAsia="Times New Roman"/>
                <w:iCs/>
                <w:color w:val="000000"/>
                <w:sz w:val="22"/>
                <w:szCs w:val="22"/>
              </w:rPr>
              <w:t>Province</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 </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Kabul</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0.1498**</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0.3112*</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(0.0714)</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(0.1759)</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w:t>
            </w:r>
            <w:proofErr w:type="spellStart"/>
            <w:r w:rsidRPr="00C53DE9">
              <w:rPr>
                <w:rFonts w:eastAsia="Times New Roman"/>
                <w:color w:val="000000"/>
                <w:sz w:val="22"/>
                <w:szCs w:val="22"/>
              </w:rPr>
              <w:t>Parwan</w:t>
            </w:r>
            <w:proofErr w:type="spellEnd"/>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0.0977</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0.1927</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(0.1025)</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(0.2247)</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w:t>
            </w:r>
            <w:proofErr w:type="spellStart"/>
            <w:r w:rsidRPr="00C53DE9">
              <w:rPr>
                <w:rFonts w:eastAsia="Times New Roman"/>
                <w:color w:val="000000"/>
                <w:sz w:val="22"/>
                <w:szCs w:val="22"/>
              </w:rPr>
              <w:t>Bamyan</w:t>
            </w:r>
            <w:proofErr w:type="spellEnd"/>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-0.1543</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-0.2473</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(0.2408)</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(0.3519)</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w:t>
            </w:r>
            <w:proofErr w:type="spellStart"/>
            <w:r w:rsidRPr="00C53DE9">
              <w:rPr>
                <w:rFonts w:eastAsia="Times New Roman"/>
                <w:color w:val="000000"/>
                <w:sz w:val="22"/>
                <w:szCs w:val="22"/>
              </w:rPr>
              <w:t>Laghman</w:t>
            </w:r>
            <w:proofErr w:type="spellEnd"/>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-0.1095</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-0.1820</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(0.0814)</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(0.1267)</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Nangarhar</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0.0620</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0.1136</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(0.0658)</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(0.1238)</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Balkh</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-0.1257</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-0.2059</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(0.0941)</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(0.1426)</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lastRenderedPageBreak/>
              <w:t xml:space="preserve">    </w:t>
            </w:r>
            <w:proofErr w:type="spellStart"/>
            <w:r w:rsidRPr="00C53DE9">
              <w:rPr>
                <w:rFonts w:eastAsia="Times New Roman"/>
                <w:color w:val="000000"/>
                <w:sz w:val="22"/>
                <w:szCs w:val="22"/>
              </w:rPr>
              <w:t>Faryab</w:t>
            </w:r>
            <w:proofErr w:type="spellEnd"/>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0.2442***</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0.5695***</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(0.0505)</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(0.1602)</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w:t>
            </w:r>
            <w:proofErr w:type="spellStart"/>
            <w:r w:rsidRPr="00C53DE9">
              <w:rPr>
                <w:rFonts w:eastAsia="Times New Roman"/>
                <w:color w:val="000000"/>
                <w:sz w:val="22"/>
                <w:szCs w:val="22"/>
              </w:rPr>
              <w:t>Jawzjan</w:t>
            </w:r>
            <w:proofErr w:type="spellEnd"/>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0.1122</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0.2239</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(0.0796)</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(0.1791)</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Sari </w:t>
            </w:r>
            <w:proofErr w:type="spellStart"/>
            <w:r w:rsidRPr="00C53DE9">
              <w:rPr>
                <w:rFonts w:eastAsia="Times New Roman"/>
                <w:color w:val="000000"/>
                <w:sz w:val="22"/>
                <w:szCs w:val="22"/>
              </w:rPr>
              <w:t>Pul</w:t>
            </w:r>
            <w:proofErr w:type="spellEnd"/>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-0.0399</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-0.0692</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(0.1327)</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(0.2228)</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Kunduz</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-0.1231</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-0.2016</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(0.1097)</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(0.1660)</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w:t>
            </w:r>
            <w:proofErr w:type="spellStart"/>
            <w:r w:rsidRPr="00C53DE9">
              <w:rPr>
                <w:rFonts w:eastAsia="Times New Roman"/>
                <w:color w:val="000000"/>
                <w:sz w:val="22"/>
                <w:szCs w:val="22"/>
              </w:rPr>
              <w:t>Takhar</w:t>
            </w:r>
            <w:proofErr w:type="spellEnd"/>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-0.1332*</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-0.2181*</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(0.0794)</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(0.1200)</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Helmand</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0.2491***</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0.5763***</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(0.0570)</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(0.1795)</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Kandahar</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0.4274***</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1.5189***</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(0.0338)</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(0.3039)</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w:t>
            </w:r>
            <w:proofErr w:type="spellStart"/>
            <w:r w:rsidRPr="00C53DE9">
              <w:rPr>
                <w:rFonts w:eastAsia="Times New Roman"/>
                <w:color w:val="000000"/>
                <w:sz w:val="22"/>
                <w:szCs w:val="22"/>
              </w:rPr>
              <w:t>Paktya</w:t>
            </w:r>
            <w:proofErr w:type="spellEnd"/>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0.1368</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0.2818</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(0.0862)</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(0.2075)</w:t>
            </w:r>
          </w:p>
        </w:tc>
      </w:tr>
      <w:tr w:rsidR="00C53DE9" w:rsidRPr="00C53DE9" w:rsidTr="00C437E1">
        <w:trPr>
          <w:trHeight w:val="300"/>
        </w:trPr>
        <w:tc>
          <w:tcPr>
            <w:tcW w:w="1202"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xml:space="preserve">    Herat</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Reference</w:t>
            </w: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p>
        </w:tc>
        <w:tc>
          <w:tcPr>
            <w:tcW w:w="633" w:type="pct"/>
            <w:tcBorders>
              <w:top w:val="nil"/>
              <w:left w:val="nil"/>
              <w:bottom w:val="nil"/>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Reference</w:t>
            </w:r>
          </w:p>
        </w:tc>
      </w:tr>
      <w:tr w:rsidR="00C53DE9" w:rsidRPr="00C53DE9" w:rsidTr="00C437E1">
        <w:trPr>
          <w:trHeight w:val="300"/>
        </w:trPr>
        <w:tc>
          <w:tcPr>
            <w:tcW w:w="1202" w:type="pct"/>
            <w:tcBorders>
              <w:top w:val="nil"/>
              <w:left w:val="nil"/>
              <w:bottom w:val="single" w:sz="4" w:space="0" w:color="auto"/>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w:t>
            </w:r>
          </w:p>
        </w:tc>
        <w:tc>
          <w:tcPr>
            <w:tcW w:w="633" w:type="pct"/>
            <w:tcBorders>
              <w:top w:val="nil"/>
              <w:left w:val="nil"/>
              <w:bottom w:val="single" w:sz="4" w:space="0" w:color="auto"/>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 </w:t>
            </w:r>
          </w:p>
        </w:tc>
        <w:tc>
          <w:tcPr>
            <w:tcW w:w="633" w:type="pct"/>
            <w:tcBorders>
              <w:top w:val="nil"/>
              <w:left w:val="nil"/>
              <w:bottom w:val="single" w:sz="4" w:space="0" w:color="auto"/>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 </w:t>
            </w:r>
          </w:p>
        </w:tc>
        <w:tc>
          <w:tcPr>
            <w:tcW w:w="633" w:type="pct"/>
            <w:tcBorders>
              <w:top w:val="nil"/>
              <w:left w:val="nil"/>
              <w:bottom w:val="single" w:sz="4" w:space="0" w:color="auto"/>
              <w:right w:val="single" w:sz="4" w:space="0" w:color="auto"/>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w:t>
            </w:r>
          </w:p>
        </w:tc>
        <w:tc>
          <w:tcPr>
            <w:tcW w:w="633" w:type="pct"/>
            <w:tcBorders>
              <w:top w:val="nil"/>
              <w:left w:val="nil"/>
              <w:bottom w:val="single" w:sz="4" w:space="0" w:color="auto"/>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 </w:t>
            </w:r>
          </w:p>
        </w:tc>
        <w:tc>
          <w:tcPr>
            <w:tcW w:w="633" w:type="pct"/>
            <w:tcBorders>
              <w:top w:val="nil"/>
              <w:left w:val="nil"/>
              <w:bottom w:val="single" w:sz="4" w:space="0" w:color="auto"/>
              <w:right w:val="nil"/>
            </w:tcBorders>
            <w:shd w:val="clear" w:color="auto" w:fill="auto"/>
            <w:noWrap/>
            <w:vAlign w:val="center"/>
            <w:hideMark/>
          </w:tcPr>
          <w:p w:rsidR="00C53DE9" w:rsidRPr="00C53DE9" w:rsidRDefault="00C53DE9" w:rsidP="00C53DE9">
            <w:pPr>
              <w:spacing w:line="240" w:lineRule="auto"/>
              <w:rPr>
                <w:rFonts w:eastAsia="Times New Roman"/>
                <w:color w:val="000000"/>
                <w:sz w:val="22"/>
                <w:szCs w:val="22"/>
              </w:rPr>
            </w:pPr>
            <w:r w:rsidRPr="00C53DE9">
              <w:rPr>
                <w:rFonts w:eastAsia="Times New Roman"/>
                <w:color w:val="000000"/>
                <w:sz w:val="22"/>
                <w:szCs w:val="22"/>
              </w:rPr>
              <w:t> </w:t>
            </w:r>
          </w:p>
        </w:tc>
        <w:tc>
          <w:tcPr>
            <w:tcW w:w="633" w:type="pct"/>
            <w:tcBorders>
              <w:top w:val="nil"/>
              <w:left w:val="nil"/>
              <w:bottom w:val="single" w:sz="4" w:space="0" w:color="auto"/>
              <w:right w:val="nil"/>
            </w:tcBorders>
            <w:shd w:val="clear" w:color="auto" w:fill="auto"/>
            <w:noWrap/>
            <w:vAlign w:val="center"/>
            <w:hideMark/>
          </w:tcPr>
          <w:p w:rsidR="00C53DE9" w:rsidRPr="00C53DE9" w:rsidRDefault="00C53DE9" w:rsidP="00C53DE9">
            <w:pPr>
              <w:spacing w:line="240" w:lineRule="auto"/>
              <w:jc w:val="center"/>
              <w:rPr>
                <w:rFonts w:eastAsia="Times New Roman"/>
                <w:color w:val="000000"/>
                <w:sz w:val="22"/>
                <w:szCs w:val="22"/>
              </w:rPr>
            </w:pPr>
            <w:r w:rsidRPr="00C53DE9">
              <w:rPr>
                <w:rFonts w:eastAsia="Times New Roman"/>
                <w:color w:val="000000"/>
                <w:sz w:val="22"/>
                <w:szCs w:val="22"/>
              </w:rPr>
              <w:t>(.)</w:t>
            </w:r>
          </w:p>
        </w:tc>
      </w:tr>
      <w:tr w:rsidR="00A13EC3" w:rsidRPr="00C53DE9" w:rsidTr="00C437E1">
        <w:trPr>
          <w:trHeight w:val="300"/>
        </w:trPr>
        <w:tc>
          <w:tcPr>
            <w:tcW w:w="1202" w:type="pct"/>
            <w:tcBorders>
              <w:top w:val="nil"/>
              <w:left w:val="nil"/>
              <w:bottom w:val="nil"/>
              <w:right w:val="nil"/>
            </w:tcBorders>
            <w:shd w:val="clear" w:color="auto" w:fill="auto"/>
            <w:noWrap/>
            <w:vAlign w:val="center"/>
            <w:hideMark/>
          </w:tcPr>
          <w:p w:rsidR="00A13EC3" w:rsidRPr="00C53DE9" w:rsidRDefault="00A13EC3" w:rsidP="00C53DE9">
            <w:pPr>
              <w:spacing w:line="240" w:lineRule="auto"/>
              <w:rPr>
                <w:rFonts w:eastAsia="Times New Roman"/>
                <w:color w:val="000000"/>
                <w:sz w:val="22"/>
                <w:szCs w:val="22"/>
              </w:rPr>
            </w:pPr>
            <w:r w:rsidRPr="00C53DE9">
              <w:rPr>
                <w:rFonts w:eastAsia="Times New Roman"/>
                <w:color w:val="000000"/>
                <w:sz w:val="22"/>
                <w:szCs w:val="22"/>
              </w:rPr>
              <w:t>Constant</w:t>
            </w:r>
          </w:p>
        </w:tc>
        <w:tc>
          <w:tcPr>
            <w:tcW w:w="633" w:type="pct"/>
            <w:tcBorders>
              <w:top w:val="nil"/>
              <w:left w:val="nil"/>
              <w:bottom w:val="nil"/>
              <w:right w:val="nil"/>
            </w:tcBorders>
            <w:shd w:val="clear" w:color="auto" w:fill="auto"/>
            <w:noWrap/>
            <w:vAlign w:val="center"/>
            <w:hideMark/>
          </w:tcPr>
          <w:p w:rsidR="00A13EC3" w:rsidRPr="00C53DE9" w:rsidRDefault="00A13EC3" w:rsidP="00C53DE9">
            <w:pPr>
              <w:spacing w:line="240" w:lineRule="auto"/>
              <w:jc w:val="center"/>
              <w:rPr>
                <w:rFonts w:eastAsia="Times New Roman"/>
                <w:color w:val="000000"/>
                <w:sz w:val="22"/>
                <w:szCs w:val="22"/>
              </w:rPr>
            </w:pPr>
            <w:r w:rsidRPr="00C53DE9">
              <w:rPr>
                <w:rFonts w:eastAsia="Times New Roman"/>
                <w:color w:val="000000"/>
                <w:sz w:val="22"/>
                <w:szCs w:val="22"/>
              </w:rPr>
              <w:t>0.4580***</w:t>
            </w:r>
          </w:p>
        </w:tc>
        <w:tc>
          <w:tcPr>
            <w:tcW w:w="633" w:type="pct"/>
            <w:tcBorders>
              <w:top w:val="nil"/>
              <w:left w:val="nil"/>
              <w:bottom w:val="nil"/>
              <w:right w:val="nil"/>
            </w:tcBorders>
            <w:shd w:val="clear" w:color="auto" w:fill="auto"/>
            <w:noWrap/>
            <w:vAlign w:val="center"/>
            <w:hideMark/>
          </w:tcPr>
          <w:p w:rsidR="00A13EC3" w:rsidRPr="00C53DE9" w:rsidRDefault="00A13EC3" w:rsidP="00C53DE9">
            <w:pPr>
              <w:spacing w:line="240" w:lineRule="auto"/>
              <w:jc w:val="center"/>
              <w:rPr>
                <w:rFonts w:eastAsia="Times New Roman"/>
                <w:color w:val="000000"/>
                <w:sz w:val="22"/>
                <w:szCs w:val="22"/>
              </w:rPr>
            </w:pPr>
            <w:r w:rsidRPr="00C53DE9">
              <w:rPr>
                <w:rFonts w:eastAsia="Times New Roman"/>
                <w:color w:val="000000"/>
                <w:sz w:val="22"/>
                <w:szCs w:val="22"/>
              </w:rPr>
              <w:t>-4.5762***</w:t>
            </w:r>
          </w:p>
        </w:tc>
        <w:tc>
          <w:tcPr>
            <w:tcW w:w="633" w:type="pct"/>
            <w:tcBorders>
              <w:top w:val="nil"/>
              <w:left w:val="nil"/>
              <w:bottom w:val="nil"/>
              <w:right w:val="single" w:sz="4" w:space="0" w:color="auto"/>
            </w:tcBorders>
            <w:shd w:val="clear" w:color="auto" w:fill="auto"/>
            <w:noWrap/>
            <w:vAlign w:val="center"/>
            <w:hideMark/>
          </w:tcPr>
          <w:p w:rsidR="00A13EC3" w:rsidRPr="00C53DE9" w:rsidRDefault="00A13EC3" w:rsidP="00C53DE9">
            <w:pPr>
              <w:spacing w:line="240" w:lineRule="auto"/>
              <w:jc w:val="center"/>
              <w:rPr>
                <w:rFonts w:eastAsia="Times New Roman"/>
                <w:color w:val="000000"/>
                <w:sz w:val="22"/>
                <w:szCs w:val="22"/>
              </w:rPr>
            </w:pPr>
            <w:r w:rsidRPr="00C53DE9">
              <w:rPr>
                <w:rFonts w:eastAsia="Times New Roman"/>
                <w:color w:val="000000"/>
                <w:sz w:val="22"/>
                <w:szCs w:val="22"/>
              </w:rPr>
              <w:t>-3.0556***</w:t>
            </w:r>
          </w:p>
        </w:tc>
        <w:tc>
          <w:tcPr>
            <w:tcW w:w="633" w:type="pct"/>
            <w:tcBorders>
              <w:top w:val="nil"/>
              <w:left w:val="nil"/>
              <w:bottom w:val="nil"/>
              <w:right w:val="nil"/>
            </w:tcBorders>
            <w:shd w:val="clear" w:color="auto" w:fill="auto"/>
            <w:noWrap/>
            <w:vAlign w:val="center"/>
            <w:hideMark/>
          </w:tcPr>
          <w:p w:rsidR="00A13EC3" w:rsidRPr="00C53DE9" w:rsidRDefault="00A13EC3" w:rsidP="00020678">
            <w:pPr>
              <w:spacing w:line="240" w:lineRule="auto"/>
              <w:jc w:val="center"/>
              <w:rPr>
                <w:rFonts w:eastAsia="Times New Roman"/>
                <w:color w:val="000000"/>
                <w:sz w:val="22"/>
                <w:szCs w:val="22"/>
              </w:rPr>
            </w:pPr>
            <w:r w:rsidRPr="00C53DE9">
              <w:rPr>
                <w:rFonts w:eastAsia="Times New Roman"/>
                <w:color w:val="000000"/>
                <w:sz w:val="22"/>
                <w:szCs w:val="22"/>
              </w:rPr>
              <w:t>0.4580***</w:t>
            </w:r>
          </w:p>
        </w:tc>
        <w:tc>
          <w:tcPr>
            <w:tcW w:w="633" w:type="pct"/>
            <w:tcBorders>
              <w:top w:val="nil"/>
              <w:left w:val="nil"/>
              <w:bottom w:val="nil"/>
              <w:right w:val="nil"/>
            </w:tcBorders>
            <w:shd w:val="clear" w:color="auto" w:fill="auto"/>
            <w:noWrap/>
            <w:vAlign w:val="center"/>
            <w:hideMark/>
          </w:tcPr>
          <w:p w:rsidR="00A13EC3" w:rsidRPr="00C53DE9" w:rsidRDefault="00A13EC3" w:rsidP="00020678">
            <w:pPr>
              <w:spacing w:line="240" w:lineRule="auto"/>
              <w:jc w:val="center"/>
              <w:rPr>
                <w:rFonts w:eastAsia="Times New Roman"/>
                <w:color w:val="000000"/>
                <w:sz w:val="22"/>
                <w:szCs w:val="22"/>
              </w:rPr>
            </w:pPr>
            <w:r w:rsidRPr="00C53DE9">
              <w:rPr>
                <w:rFonts w:eastAsia="Times New Roman"/>
                <w:color w:val="000000"/>
                <w:sz w:val="22"/>
                <w:szCs w:val="22"/>
              </w:rPr>
              <w:t>-4.5762***</w:t>
            </w:r>
          </w:p>
        </w:tc>
        <w:tc>
          <w:tcPr>
            <w:tcW w:w="633" w:type="pct"/>
            <w:tcBorders>
              <w:top w:val="nil"/>
              <w:left w:val="nil"/>
              <w:bottom w:val="nil"/>
              <w:right w:val="nil"/>
            </w:tcBorders>
            <w:shd w:val="clear" w:color="auto" w:fill="auto"/>
            <w:noWrap/>
            <w:vAlign w:val="center"/>
            <w:hideMark/>
          </w:tcPr>
          <w:p w:rsidR="00A13EC3" w:rsidRPr="00C53DE9" w:rsidRDefault="00A13EC3" w:rsidP="00020678">
            <w:pPr>
              <w:spacing w:line="240" w:lineRule="auto"/>
              <w:jc w:val="center"/>
              <w:rPr>
                <w:rFonts w:eastAsia="Times New Roman"/>
                <w:color w:val="000000"/>
                <w:sz w:val="22"/>
                <w:szCs w:val="22"/>
              </w:rPr>
            </w:pPr>
            <w:r w:rsidRPr="00C53DE9">
              <w:rPr>
                <w:rFonts w:eastAsia="Times New Roman"/>
                <w:color w:val="000000"/>
                <w:sz w:val="22"/>
                <w:szCs w:val="22"/>
              </w:rPr>
              <w:t>-3.0556***</w:t>
            </w:r>
          </w:p>
        </w:tc>
      </w:tr>
      <w:tr w:rsidR="00A13EC3" w:rsidRPr="00C53DE9" w:rsidTr="00C437E1">
        <w:trPr>
          <w:trHeight w:val="300"/>
        </w:trPr>
        <w:tc>
          <w:tcPr>
            <w:tcW w:w="1202" w:type="pct"/>
            <w:tcBorders>
              <w:top w:val="nil"/>
              <w:left w:val="nil"/>
              <w:bottom w:val="single" w:sz="4" w:space="0" w:color="auto"/>
              <w:right w:val="nil"/>
            </w:tcBorders>
            <w:shd w:val="clear" w:color="auto" w:fill="auto"/>
            <w:noWrap/>
            <w:vAlign w:val="center"/>
            <w:hideMark/>
          </w:tcPr>
          <w:p w:rsidR="00A13EC3" w:rsidRPr="00C53DE9" w:rsidRDefault="00A13EC3" w:rsidP="00C53DE9">
            <w:pPr>
              <w:spacing w:line="240" w:lineRule="auto"/>
              <w:rPr>
                <w:rFonts w:eastAsia="Times New Roman"/>
                <w:color w:val="000000"/>
                <w:sz w:val="22"/>
                <w:szCs w:val="22"/>
              </w:rPr>
            </w:pPr>
            <w:r w:rsidRPr="00C53DE9">
              <w:rPr>
                <w:rFonts w:eastAsia="Times New Roman"/>
                <w:color w:val="000000"/>
                <w:sz w:val="22"/>
                <w:szCs w:val="22"/>
              </w:rPr>
              <w:t> </w:t>
            </w:r>
          </w:p>
        </w:tc>
        <w:tc>
          <w:tcPr>
            <w:tcW w:w="633" w:type="pct"/>
            <w:tcBorders>
              <w:top w:val="nil"/>
              <w:left w:val="nil"/>
              <w:bottom w:val="single" w:sz="4" w:space="0" w:color="auto"/>
              <w:right w:val="nil"/>
            </w:tcBorders>
            <w:shd w:val="clear" w:color="auto" w:fill="auto"/>
            <w:noWrap/>
            <w:vAlign w:val="center"/>
            <w:hideMark/>
          </w:tcPr>
          <w:p w:rsidR="00A13EC3" w:rsidRPr="00C53DE9" w:rsidRDefault="00A13EC3" w:rsidP="00C53DE9">
            <w:pPr>
              <w:spacing w:line="240" w:lineRule="auto"/>
              <w:jc w:val="center"/>
              <w:rPr>
                <w:rFonts w:eastAsia="Times New Roman"/>
                <w:color w:val="000000"/>
                <w:sz w:val="22"/>
                <w:szCs w:val="22"/>
              </w:rPr>
            </w:pPr>
            <w:r w:rsidRPr="00C53DE9">
              <w:rPr>
                <w:rFonts w:eastAsia="Times New Roman"/>
                <w:color w:val="000000"/>
                <w:sz w:val="22"/>
                <w:szCs w:val="22"/>
              </w:rPr>
              <w:t>(0.0966)</w:t>
            </w:r>
          </w:p>
        </w:tc>
        <w:tc>
          <w:tcPr>
            <w:tcW w:w="633" w:type="pct"/>
            <w:tcBorders>
              <w:top w:val="nil"/>
              <w:left w:val="nil"/>
              <w:bottom w:val="single" w:sz="4" w:space="0" w:color="auto"/>
              <w:right w:val="nil"/>
            </w:tcBorders>
            <w:shd w:val="clear" w:color="auto" w:fill="auto"/>
            <w:noWrap/>
            <w:vAlign w:val="center"/>
            <w:hideMark/>
          </w:tcPr>
          <w:p w:rsidR="00A13EC3" w:rsidRPr="00C53DE9" w:rsidRDefault="00A13EC3" w:rsidP="00C53DE9">
            <w:pPr>
              <w:spacing w:line="240" w:lineRule="auto"/>
              <w:jc w:val="center"/>
              <w:rPr>
                <w:rFonts w:eastAsia="Times New Roman"/>
                <w:color w:val="000000"/>
                <w:sz w:val="22"/>
                <w:szCs w:val="22"/>
              </w:rPr>
            </w:pPr>
            <w:r w:rsidRPr="00C53DE9">
              <w:rPr>
                <w:rFonts w:eastAsia="Times New Roman"/>
                <w:color w:val="000000"/>
                <w:sz w:val="22"/>
                <w:szCs w:val="22"/>
              </w:rPr>
              <w:t>(0.7524)</w:t>
            </w:r>
          </w:p>
        </w:tc>
        <w:tc>
          <w:tcPr>
            <w:tcW w:w="633" w:type="pct"/>
            <w:tcBorders>
              <w:top w:val="nil"/>
              <w:left w:val="nil"/>
              <w:bottom w:val="single" w:sz="4" w:space="0" w:color="auto"/>
              <w:right w:val="single" w:sz="4" w:space="0" w:color="auto"/>
            </w:tcBorders>
            <w:shd w:val="clear" w:color="auto" w:fill="auto"/>
            <w:noWrap/>
            <w:vAlign w:val="center"/>
            <w:hideMark/>
          </w:tcPr>
          <w:p w:rsidR="00A13EC3" w:rsidRPr="00C53DE9" w:rsidRDefault="00A13EC3" w:rsidP="00C53DE9">
            <w:pPr>
              <w:spacing w:line="240" w:lineRule="auto"/>
              <w:jc w:val="center"/>
              <w:rPr>
                <w:rFonts w:eastAsia="Times New Roman"/>
                <w:color w:val="000000"/>
                <w:sz w:val="22"/>
                <w:szCs w:val="22"/>
              </w:rPr>
            </w:pPr>
            <w:r w:rsidRPr="00C53DE9">
              <w:rPr>
                <w:rFonts w:eastAsia="Times New Roman"/>
                <w:color w:val="000000"/>
                <w:sz w:val="22"/>
                <w:szCs w:val="22"/>
              </w:rPr>
              <w:t>(0.7633)</w:t>
            </w:r>
          </w:p>
        </w:tc>
        <w:tc>
          <w:tcPr>
            <w:tcW w:w="633" w:type="pct"/>
            <w:tcBorders>
              <w:top w:val="nil"/>
              <w:left w:val="nil"/>
              <w:bottom w:val="single" w:sz="4" w:space="0" w:color="auto"/>
              <w:right w:val="nil"/>
            </w:tcBorders>
            <w:shd w:val="clear" w:color="auto" w:fill="auto"/>
            <w:noWrap/>
            <w:vAlign w:val="center"/>
            <w:hideMark/>
          </w:tcPr>
          <w:p w:rsidR="00A13EC3" w:rsidRPr="00C53DE9" w:rsidRDefault="00A13EC3" w:rsidP="00020678">
            <w:pPr>
              <w:spacing w:line="240" w:lineRule="auto"/>
              <w:jc w:val="center"/>
              <w:rPr>
                <w:rFonts w:eastAsia="Times New Roman"/>
                <w:color w:val="000000"/>
                <w:sz w:val="22"/>
                <w:szCs w:val="22"/>
              </w:rPr>
            </w:pPr>
            <w:r w:rsidRPr="00C53DE9">
              <w:rPr>
                <w:rFonts w:eastAsia="Times New Roman"/>
                <w:color w:val="000000"/>
                <w:sz w:val="22"/>
                <w:szCs w:val="22"/>
              </w:rPr>
              <w:t>(0.0966)</w:t>
            </w:r>
          </w:p>
        </w:tc>
        <w:tc>
          <w:tcPr>
            <w:tcW w:w="633" w:type="pct"/>
            <w:tcBorders>
              <w:top w:val="nil"/>
              <w:left w:val="nil"/>
              <w:bottom w:val="single" w:sz="4" w:space="0" w:color="auto"/>
              <w:right w:val="nil"/>
            </w:tcBorders>
            <w:shd w:val="clear" w:color="auto" w:fill="auto"/>
            <w:noWrap/>
            <w:vAlign w:val="center"/>
            <w:hideMark/>
          </w:tcPr>
          <w:p w:rsidR="00A13EC3" w:rsidRPr="00C53DE9" w:rsidRDefault="00A13EC3" w:rsidP="00020678">
            <w:pPr>
              <w:spacing w:line="240" w:lineRule="auto"/>
              <w:jc w:val="center"/>
              <w:rPr>
                <w:rFonts w:eastAsia="Times New Roman"/>
                <w:color w:val="000000"/>
                <w:sz w:val="22"/>
                <w:szCs w:val="22"/>
              </w:rPr>
            </w:pPr>
            <w:r w:rsidRPr="00C53DE9">
              <w:rPr>
                <w:rFonts w:eastAsia="Times New Roman"/>
                <w:color w:val="000000"/>
                <w:sz w:val="22"/>
                <w:szCs w:val="22"/>
              </w:rPr>
              <w:t>(0.7524)</w:t>
            </w:r>
          </w:p>
        </w:tc>
        <w:tc>
          <w:tcPr>
            <w:tcW w:w="633" w:type="pct"/>
            <w:tcBorders>
              <w:top w:val="nil"/>
              <w:left w:val="nil"/>
              <w:bottom w:val="single" w:sz="4" w:space="0" w:color="auto"/>
              <w:right w:val="nil"/>
            </w:tcBorders>
            <w:shd w:val="clear" w:color="auto" w:fill="auto"/>
            <w:noWrap/>
            <w:vAlign w:val="center"/>
            <w:hideMark/>
          </w:tcPr>
          <w:p w:rsidR="00A13EC3" w:rsidRPr="00C53DE9" w:rsidRDefault="00A13EC3" w:rsidP="00020678">
            <w:pPr>
              <w:spacing w:line="240" w:lineRule="auto"/>
              <w:jc w:val="center"/>
              <w:rPr>
                <w:rFonts w:eastAsia="Times New Roman"/>
                <w:color w:val="000000"/>
                <w:sz w:val="22"/>
                <w:szCs w:val="22"/>
              </w:rPr>
            </w:pPr>
            <w:r w:rsidRPr="00C53DE9">
              <w:rPr>
                <w:rFonts w:eastAsia="Times New Roman"/>
                <w:color w:val="000000"/>
                <w:sz w:val="22"/>
                <w:szCs w:val="22"/>
              </w:rPr>
              <w:t>(0.7633)</w:t>
            </w:r>
          </w:p>
        </w:tc>
      </w:tr>
      <w:tr w:rsidR="00A13EC3" w:rsidRPr="00C53DE9" w:rsidTr="00C437E1">
        <w:trPr>
          <w:trHeight w:val="300"/>
        </w:trPr>
        <w:tc>
          <w:tcPr>
            <w:tcW w:w="1202" w:type="pct"/>
            <w:tcBorders>
              <w:top w:val="nil"/>
              <w:left w:val="nil"/>
              <w:bottom w:val="nil"/>
              <w:right w:val="nil"/>
            </w:tcBorders>
            <w:shd w:val="clear" w:color="auto" w:fill="auto"/>
            <w:noWrap/>
            <w:vAlign w:val="center"/>
            <w:hideMark/>
          </w:tcPr>
          <w:p w:rsidR="00A13EC3" w:rsidRPr="00C53DE9" w:rsidRDefault="00A13EC3" w:rsidP="00C53DE9">
            <w:pPr>
              <w:spacing w:line="240" w:lineRule="auto"/>
              <w:rPr>
                <w:rFonts w:eastAsia="Times New Roman"/>
                <w:color w:val="000000"/>
                <w:sz w:val="22"/>
                <w:szCs w:val="22"/>
              </w:rPr>
            </w:pPr>
            <w:r w:rsidRPr="00C53DE9">
              <w:rPr>
                <w:rFonts w:eastAsia="Times New Roman"/>
                <w:color w:val="000000"/>
                <w:sz w:val="22"/>
                <w:szCs w:val="22"/>
              </w:rPr>
              <w:t>Adj. R-Squared</w:t>
            </w:r>
          </w:p>
        </w:tc>
        <w:tc>
          <w:tcPr>
            <w:tcW w:w="633" w:type="pct"/>
            <w:tcBorders>
              <w:top w:val="nil"/>
              <w:left w:val="nil"/>
              <w:bottom w:val="nil"/>
              <w:right w:val="nil"/>
            </w:tcBorders>
            <w:shd w:val="clear" w:color="auto" w:fill="auto"/>
            <w:noWrap/>
            <w:vAlign w:val="center"/>
            <w:hideMark/>
          </w:tcPr>
          <w:p w:rsidR="00A13EC3" w:rsidRPr="00C53DE9" w:rsidRDefault="00A13EC3" w:rsidP="00C53DE9">
            <w:pPr>
              <w:spacing w:line="240" w:lineRule="auto"/>
              <w:jc w:val="center"/>
              <w:rPr>
                <w:rFonts w:eastAsia="Times New Roman"/>
                <w:color w:val="000000"/>
                <w:sz w:val="22"/>
                <w:szCs w:val="22"/>
              </w:rPr>
            </w:pPr>
            <w:r w:rsidRPr="00C53DE9">
              <w:rPr>
                <w:rFonts w:eastAsia="Times New Roman"/>
                <w:color w:val="000000"/>
                <w:sz w:val="22"/>
                <w:szCs w:val="22"/>
              </w:rPr>
              <w:t>0.0058</w:t>
            </w:r>
          </w:p>
        </w:tc>
        <w:tc>
          <w:tcPr>
            <w:tcW w:w="633" w:type="pct"/>
            <w:tcBorders>
              <w:top w:val="nil"/>
              <w:left w:val="nil"/>
              <w:bottom w:val="nil"/>
              <w:right w:val="nil"/>
            </w:tcBorders>
            <w:shd w:val="clear" w:color="auto" w:fill="auto"/>
            <w:noWrap/>
            <w:vAlign w:val="center"/>
            <w:hideMark/>
          </w:tcPr>
          <w:p w:rsidR="00A13EC3" w:rsidRPr="00C53DE9" w:rsidRDefault="00A13EC3" w:rsidP="00C53DE9">
            <w:pPr>
              <w:spacing w:line="240" w:lineRule="auto"/>
              <w:jc w:val="center"/>
              <w:rPr>
                <w:rFonts w:eastAsia="Times New Roman"/>
                <w:color w:val="000000"/>
                <w:sz w:val="22"/>
                <w:szCs w:val="22"/>
              </w:rPr>
            </w:pPr>
            <w:r w:rsidRPr="00C53DE9">
              <w:rPr>
                <w:rFonts w:eastAsia="Times New Roman"/>
                <w:color w:val="000000"/>
                <w:sz w:val="22"/>
                <w:szCs w:val="22"/>
              </w:rPr>
              <w:t>0.0518</w:t>
            </w:r>
          </w:p>
        </w:tc>
        <w:tc>
          <w:tcPr>
            <w:tcW w:w="633" w:type="pct"/>
            <w:tcBorders>
              <w:top w:val="nil"/>
              <w:left w:val="nil"/>
              <w:bottom w:val="nil"/>
              <w:right w:val="single" w:sz="4" w:space="0" w:color="auto"/>
            </w:tcBorders>
            <w:shd w:val="clear" w:color="auto" w:fill="auto"/>
            <w:noWrap/>
            <w:vAlign w:val="center"/>
            <w:hideMark/>
          </w:tcPr>
          <w:p w:rsidR="00A13EC3" w:rsidRPr="00C53DE9" w:rsidRDefault="00A13EC3" w:rsidP="00C53DE9">
            <w:pPr>
              <w:spacing w:line="240" w:lineRule="auto"/>
              <w:jc w:val="center"/>
              <w:rPr>
                <w:rFonts w:eastAsia="Times New Roman"/>
                <w:color w:val="000000"/>
                <w:sz w:val="22"/>
                <w:szCs w:val="22"/>
              </w:rPr>
            </w:pPr>
            <w:r w:rsidRPr="00C53DE9">
              <w:rPr>
                <w:rFonts w:eastAsia="Times New Roman"/>
                <w:color w:val="000000"/>
                <w:sz w:val="22"/>
                <w:szCs w:val="22"/>
              </w:rPr>
              <w:t>0.0900</w:t>
            </w:r>
          </w:p>
        </w:tc>
        <w:tc>
          <w:tcPr>
            <w:tcW w:w="633" w:type="pct"/>
            <w:tcBorders>
              <w:top w:val="nil"/>
              <w:left w:val="nil"/>
              <w:bottom w:val="nil"/>
              <w:right w:val="nil"/>
            </w:tcBorders>
            <w:shd w:val="clear" w:color="auto" w:fill="auto"/>
            <w:noWrap/>
            <w:vAlign w:val="center"/>
            <w:hideMark/>
          </w:tcPr>
          <w:p w:rsidR="00A13EC3" w:rsidRPr="00C53DE9" w:rsidRDefault="00A13EC3" w:rsidP="00020678">
            <w:pPr>
              <w:spacing w:line="240" w:lineRule="auto"/>
              <w:jc w:val="center"/>
              <w:rPr>
                <w:rFonts w:eastAsia="Times New Roman"/>
                <w:color w:val="000000"/>
                <w:sz w:val="22"/>
                <w:szCs w:val="22"/>
              </w:rPr>
            </w:pPr>
            <w:r w:rsidRPr="00C53DE9">
              <w:rPr>
                <w:rFonts w:eastAsia="Times New Roman"/>
                <w:color w:val="000000"/>
                <w:sz w:val="22"/>
                <w:szCs w:val="22"/>
              </w:rPr>
              <w:t>0.0058</w:t>
            </w:r>
          </w:p>
        </w:tc>
        <w:tc>
          <w:tcPr>
            <w:tcW w:w="633" w:type="pct"/>
            <w:tcBorders>
              <w:top w:val="nil"/>
              <w:left w:val="nil"/>
              <w:bottom w:val="nil"/>
              <w:right w:val="nil"/>
            </w:tcBorders>
            <w:shd w:val="clear" w:color="auto" w:fill="auto"/>
            <w:noWrap/>
            <w:vAlign w:val="center"/>
            <w:hideMark/>
          </w:tcPr>
          <w:p w:rsidR="00A13EC3" w:rsidRPr="00C53DE9" w:rsidRDefault="00A13EC3" w:rsidP="00020678">
            <w:pPr>
              <w:spacing w:line="240" w:lineRule="auto"/>
              <w:jc w:val="center"/>
              <w:rPr>
                <w:rFonts w:eastAsia="Times New Roman"/>
                <w:color w:val="000000"/>
                <w:sz w:val="22"/>
                <w:szCs w:val="22"/>
              </w:rPr>
            </w:pPr>
            <w:r w:rsidRPr="00C53DE9">
              <w:rPr>
                <w:rFonts w:eastAsia="Times New Roman"/>
                <w:color w:val="000000"/>
                <w:sz w:val="22"/>
                <w:szCs w:val="22"/>
              </w:rPr>
              <w:t>0.0518</w:t>
            </w:r>
          </w:p>
        </w:tc>
        <w:tc>
          <w:tcPr>
            <w:tcW w:w="633" w:type="pct"/>
            <w:tcBorders>
              <w:top w:val="nil"/>
              <w:left w:val="nil"/>
              <w:bottom w:val="nil"/>
              <w:right w:val="nil"/>
            </w:tcBorders>
            <w:shd w:val="clear" w:color="auto" w:fill="auto"/>
            <w:noWrap/>
            <w:vAlign w:val="center"/>
            <w:hideMark/>
          </w:tcPr>
          <w:p w:rsidR="00A13EC3" w:rsidRPr="00C53DE9" w:rsidRDefault="00A13EC3" w:rsidP="00020678">
            <w:pPr>
              <w:spacing w:line="240" w:lineRule="auto"/>
              <w:jc w:val="center"/>
              <w:rPr>
                <w:rFonts w:eastAsia="Times New Roman"/>
                <w:color w:val="000000"/>
                <w:sz w:val="22"/>
                <w:szCs w:val="22"/>
              </w:rPr>
            </w:pPr>
            <w:r w:rsidRPr="00C53DE9">
              <w:rPr>
                <w:rFonts w:eastAsia="Times New Roman"/>
                <w:color w:val="000000"/>
                <w:sz w:val="22"/>
                <w:szCs w:val="22"/>
              </w:rPr>
              <w:t>0.0900</w:t>
            </w:r>
          </w:p>
        </w:tc>
      </w:tr>
      <w:tr w:rsidR="00A13EC3" w:rsidRPr="00C53DE9" w:rsidTr="00C437E1">
        <w:trPr>
          <w:trHeight w:val="300"/>
        </w:trPr>
        <w:tc>
          <w:tcPr>
            <w:tcW w:w="1202" w:type="pct"/>
            <w:tcBorders>
              <w:top w:val="nil"/>
              <w:left w:val="nil"/>
              <w:bottom w:val="single" w:sz="4" w:space="0" w:color="auto"/>
              <w:right w:val="nil"/>
            </w:tcBorders>
            <w:shd w:val="clear" w:color="auto" w:fill="auto"/>
            <w:noWrap/>
            <w:vAlign w:val="center"/>
            <w:hideMark/>
          </w:tcPr>
          <w:p w:rsidR="00A13EC3" w:rsidRPr="00C53DE9" w:rsidRDefault="00A13EC3" w:rsidP="00C53DE9">
            <w:pPr>
              <w:spacing w:line="240" w:lineRule="auto"/>
              <w:rPr>
                <w:rFonts w:eastAsia="Times New Roman"/>
                <w:color w:val="000000"/>
                <w:sz w:val="22"/>
                <w:szCs w:val="22"/>
              </w:rPr>
            </w:pPr>
            <w:r w:rsidRPr="00C53DE9">
              <w:rPr>
                <w:rFonts w:eastAsia="Times New Roman"/>
                <w:color w:val="000000"/>
                <w:sz w:val="22"/>
                <w:szCs w:val="22"/>
              </w:rPr>
              <w:t>N</w:t>
            </w:r>
          </w:p>
        </w:tc>
        <w:tc>
          <w:tcPr>
            <w:tcW w:w="633" w:type="pct"/>
            <w:tcBorders>
              <w:top w:val="nil"/>
              <w:left w:val="nil"/>
              <w:bottom w:val="single" w:sz="4" w:space="0" w:color="auto"/>
              <w:right w:val="nil"/>
            </w:tcBorders>
            <w:shd w:val="clear" w:color="auto" w:fill="auto"/>
            <w:noWrap/>
            <w:vAlign w:val="center"/>
            <w:hideMark/>
          </w:tcPr>
          <w:p w:rsidR="00A13EC3" w:rsidRPr="00C53DE9" w:rsidRDefault="00A13EC3" w:rsidP="00C53DE9">
            <w:pPr>
              <w:spacing w:line="240" w:lineRule="auto"/>
              <w:jc w:val="center"/>
              <w:rPr>
                <w:rFonts w:eastAsia="Times New Roman"/>
                <w:color w:val="000000"/>
                <w:sz w:val="22"/>
                <w:szCs w:val="22"/>
              </w:rPr>
            </w:pPr>
            <w:r w:rsidRPr="00C53DE9">
              <w:rPr>
                <w:rFonts w:eastAsia="Times New Roman"/>
                <w:color w:val="000000"/>
                <w:sz w:val="22"/>
                <w:szCs w:val="22"/>
              </w:rPr>
              <w:t>1020</w:t>
            </w:r>
          </w:p>
        </w:tc>
        <w:tc>
          <w:tcPr>
            <w:tcW w:w="633" w:type="pct"/>
            <w:tcBorders>
              <w:top w:val="nil"/>
              <w:left w:val="nil"/>
              <w:bottom w:val="single" w:sz="4" w:space="0" w:color="auto"/>
              <w:right w:val="nil"/>
            </w:tcBorders>
            <w:shd w:val="clear" w:color="auto" w:fill="auto"/>
            <w:noWrap/>
            <w:vAlign w:val="center"/>
            <w:hideMark/>
          </w:tcPr>
          <w:p w:rsidR="00A13EC3" w:rsidRPr="00C53DE9" w:rsidRDefault="00A13EC3" w:rsidP="00C53DE9">
            <w:pPr>
              <w:spacing w:line="240" w:lineRule="auto"/>
              <w:jc w:val="center"/>
              <w:rPr>
                <w:rFonts w:eastAsia="Times New Roman"/>
                <w:color w:val="000000"/>
                <w:sz w:val="22"/>
                <w:szCs w:val="22"/>
              </w:rPr>
            </w:pPr>
            <w:r w:rsidRPr="00C53DE9">
              <w:rPr>
                <w:rFonts w:eastAsia="Times New Roman"/>
                <w:color w:val="000000"/>
                <w:sz w:val="22"/>
                <w:szCs w:val="22"/>
              </w:rPr>
              <w:t>1020</w:t>
            </w:r>
          </w:p>
        </w:tc>
        <w:tc>
          <w:tcPr>
            <w:tcW w:w="633" w:type="pct"/>
            <w:tcBorders>
              <w:top w:val="nil"/>
              <w:left w:val="nil"/>
              <w:bottom w:val="single" w:sz="4" w:space="0" w:color="auto"/>
              <w:right w:val="single" w:sz="4" w:space="0" w:color="auto"/>
            </w:tcBorders>
            <w:shd w:val="clear" w:color="auto" w:fill="auto"/>
            <w:noWrap/>
            <w:vAlign w:val="center"/>
            <w:hideMark/>
          </w:tcPr>
          <w:p w:rsidR="00A13EC3" w:rsidRPr="00C53DE9" w:rsidRDefault="00A13EC3" w:rsidP="00C53DE9">
            <w:pPr>
              <w:spacing w:line="240" w:lineRule="auto"/>
              <w:jc w:val="center"/>
              <w:rPr>
                <w:rFonts w:eastAsia="Times New Roman"/>
                <w:color w:val="000000"/>
                <w:sz w:val="22"/>
                <w:szCs w:val="22"/>
              </w:rPr>
            </w:pPr>
            <w:r w:rsidRPr="00C53DE9">
              <w:rPr>
                <w:rFonts w:eastAsia="Times New Roman"/>
                <w:color w:val="000000"/>
                <w:sz w:val="22"/>
                <w:szCs w:val="22"/>
              </w:rPr>
              <w:t>1020</w:t>
            </w:r>
          </w:p>
        </w:tc>
        <w:tc>
          <w:tcPr>
            <w:tcW w:w="633" w:type="pct"/>
            <w:tcBorders>
              <w:top w:val="nil"/>
              <w:left w:val="nil"/>
              <w:bottom w:val="single" w:sz="4" w:space="0" w:color="auto"/>
              <w:right w:val="nil"/>
            </w:tcBorders>
            <w:shd w:val="clear" w:color="auto" w:fill="auto"/>
            <w:noWrap/>
            <w:vAlign w:val="center"/>
            <w:hideMark/>
          </w:tcPr>
          <w:p w:rsidR="00A13EC3" w:rsidRPr="00C53DE9" w:rsidRDefault="00A13EC3" w:rsidP="00020678">
            <w:pPr>
              <w:spacing w:line="240" w:lineRule="auto"/>
              <w:jc w:val="center"/>
              <w:rPr>
                <w:rFonts w:eastAsia="Times New Roman"/>
                <w:color w:val="000000"/>
                <w:sz w:val="22"/>
                <w:szCs w:val="22"/>
              </w:rPr>
            </w:pPr>
            <w:r w:rsidRPr="00C53DE9">
              <w:rPr>
                <w:rFonts w:eastAsia="Times New Roman"/>
                <w:color w:val="000000"/>
                <w:sz w:val="22"/>
                <w:szCs w:val="22"/>
              </w:rPr>
              <w:t>1020</w:t>
            </w:r>
          </w:p>
        </w:tc>
        <w:tc>
          <w:tcPr>
            <w:tcW w:w="633" w:type="pct"/>
            <w:tcBorders>
              <w:top w:val="nil"/>
              <w:left w:val="nil"/>
              <w:bottom w:val="single" w:sz="4" w:space="0" w:color="auto"/>
              <w:right w:val="nil"/>
            </w:tcBorders>
            <w:shd w:val="clear" w:color="auto" w:fill="auto"/>
            <w:noWrap/>
            <w:vAlign w:val="center"/>
            <w:hideMark/>
          </w:tcPr>
          <w:p w:rsidR="00A13EC3" w:rsidRPr="00C53DE9" w:rsidRDefault="00A13EC3" w:rsidP="00020678">
            <w:pPr>
              <w:spacing w:line="240" w:lineRule="auto"/>
              <w:jc w:val="center"/>
              <w:rPr>
                <w:rFonts w:eastAsia="Times New Roman"/>
                <w:color w:val="000000"/>
                <w:sz w:val="22"/>
                <w:szCs w:val="22"/>
              </w:rPr>
            </w:pPr>
            <w:r w:rsidRPr="00C53DE9">
              <w:rPr>
                <w:rFonts w:eastAsia="Times New Roman"/>
                <w:color w:val="000000"/>
                <w:sz w:val="22"/>
                <w:szCs w:val="22"/>
              </w:rPr>
              <w:t>1020</w:t>
            </w:r>
          </w:p>
        </w:tc>
        <w:tc>
          <w:tcPr>
            <w:tcW w:w="633" w:type="pct"/>
            <w:tcBorders>
              <w:top w:val="nil"/>
              <w:left w:val="nil"/>
              <w:bottom w:val="single" w:sz="4" w:space="0" w:color="auto"/>
              <w:right w:val="nil"/>
            </w:tcBorders>
            <w:shd w:val="clear" w:color="auto" w:fill="auto"/>
            <w:noWrap/>
            <w:vAlign w:val="center"/>
            <w:hideMark/>
          </w:tcPr>
          <w:p w:rsidR="00A13EC3" w:rsidRPr="00C53DE9" w:rsidRDefault="00A13EC3" w:rsidP="00020678">
            <w:pPr>
              <w:spacing w:line="240" w:lineRule="auto"/>
              <w:jc w:val="center"/>
              <w:rPr>
                <w:rFonts w:eastAsia="Times New Roman"/>
                <w:color w:val="000000"/>
                <w:sz w:val="22"/>
                <w:szCs w:val="22"/>
              </w:rPr>
            </w:pPr>
            <w:r w:rsidRPr="00C53DE9">
              <w:rPr>
                <w:rFonts w:eastAsia="Times New Roman"/>
                <w:color w:val="000000"/>
                <w:sz w:val="22"/>
                <w:szCs w:val="22"/>
              </w:rPr>
              <w:t>1020</w:t>
            </w:r>
          </w:p>
        </w:tc>
      </w:tr>
      <w:tr w:rsidR="00A13EC3" w:rsidRPr="00C53DE9" w:rsidTr="00C437E1">
        <w:trPr>
          <w:trHeight w:val="300"/>
        </w:trPr>
        <w:tc>
          <w:tcPr>
            <w:tcW w:w="5000" w:type="pct"/>
            <w:gridSpan w:val="7"/>
            <w:tcBorders>
              <w:top w:val="nil"/>
              <w:left w:val="nil"/>
              <w:bottom w:val="nil"/>
              <w:right w:val="nil"/>
            </w:tcBorders>
            <w:shd w:val="clear" w:color="auto" w:fill="auto"/>
            <w:noWrap/>
            <w:vAlign w:val="center"/>
            <w:hideMark/>
          </w:tcPr>
          <w:p w:rsidR="00A13EC3" w:rsidRPr="00C53DE9" w:rsidRDefault="00A13EC3" w:rsidP="00C53DE9">
            <w:pPr>
              <w:spacing w:line="240" w:lineRule="auto"/>
              <w:rPr>
                <w:rFonts w:eastAsia="Times New Roman"/>
                <w:color w:val="000000"/>
                <w:sz w:val="22"/>
                <w:szCs w:val="22"/>
              </w:rPr>
            </w:pPr>
            <w:r w:rsidRPr="00C53DE9">
              <w:rPr>
                <w:rFonts w:eastAsia="Times New Roman"/>
                <w:color w:val="000000"/>
                <w:sz w:val="20"/>
                <w:szCs w:val="20"/>
              </w:rPr>
              <w:t>Note: * p&lt;0.10, ** p&lt;0.05, *** p&lt;0.01.</w:t>
            </w:r>
          </w:p>
        </w:tc>
      </w:tr>
    </w:tbl>
    <w:p w:rsidR="00BA47AB" w:rsidRPr="005B7C0C" w:rsidRDefault="00BA47AB" w:rsidP="005776F9">
      <w:pPr>
        <w:pStyle w:val="ListParagraph"/>
        <w:spacing w:after="200" w:line="480" w:lineRule="auto"/>
        <w:ind w:left="0"/>
        <w:jc w:val="both"/>
      </w:pPr>
    </w:p>
    <w:sectPr w:rsidR="00BA47AB" w:rsidRPr="005B7C0C" w:rsidSect="001F5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AB" w:rsidRDefault="00B506AB" w:rsidP="006D2795">
      <w:pPr>
        <w:spacing w:line="240" w:lineRule="auto"/>
      </w:pPr>
      <w:r>
        <w:separator/>
      </w:r>
    </w:p>
  </w:endnote>
  <w:endnote w:type="continuationSeparator" w:id="0">
    <w:p w:rsidR="00B506AB" w:rsidRDefault="00B506AB" w:rsidP="006D2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94" w:rsidRDefault="00BE7394">
    <w:pPr>
      <w:pStyle w:val="Footer"/>
      <w:jc w:val="right"/>
    </w:pPr>
  </w:p>
  <w:p w:rsidR="00BE7394" w:rsidRDefault="00BE7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072778"/>
      <w:docPartObj>
        <w:docPartGallery w:val="Page Numbers (Bottom of Page)"/>
        <w:docPartUnique/>
      </w:docPartObj>
    </w:sdtPr>
    <w:sdtEndPr>
      <w:rPr>
        <w:noProof/>
      </w:rPr>
    </w:sdtEndPr>
    <w:sdtContent>
      <w:p w:rsidR="00BE7394" w:rsidRDefault="00BE7394">
        <w:pPr>
          <w:pStyle w:val="Footer"/>
          <w:jc w:val="right"/>
        </w:pPr>
        <w:r>
          <w:fldChar w:fldCharType="begin"/>
        </w:r>
        <w:r>
          <w:instrText xml:space="preserve"> PAGE   \* MERGEFORMAT </w:instrText>
        </w:r>
        <w:r>
          <w:fldChar w:fldCharType="separate"/>
        </w:r>
        <w:r w:rsidR="00557435">
          <w:rPr>
            <w:noProof/>
          </w:rPr>
          <w:t>37</w:t>
        </w:r>
        <w:r>
          <w:fldChar w:fldCharType="end"/>
        </w:r>
      </w:p>
    </w:sdtContent>
  </w:sdt>
  <w:p w:rsidR="00BE7394" w:rsidRDefault="00BE7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AB" w:rsidRDefault="00B506AB" w:rsidP="006D2795">
      <w:pPr>
        <w:spacing w:line="240" w:lineRule="auto"/>
      </w:pPr>
      <w:r>
        <w:separator/>
      </w:r>
    </w:p>
  </w:footnote>
  <w:footnote w:type="continuationSeparator" w:id="0">
    <w:p w:rsidR="00B506AB" w:rsidRDefault="00B506AB" w:rsidP="006D2795">
      <w:pPr>
        <w:spacing w:line="240" w:lineRule="auto"/>
      </w:pPr>
      <w:r>
        <w:continuationSeparator/>
      </w:r>
    </w:p>
  </w:footnote>
  <w:footnote w:id="1">
    <w:p w:rsidR="00BE7394" w:rsidRPr="00701580" w:rsidRDefault="00BE7394" w:rsidP="00701580">
      <w:pPr>
        <w:pStyle w:val="FootnoteText"/>
        <w:jc w:val="both"/>
        <w:rPr>
          <w:rFonts w:ascii="Times New Roman" w:hAnsi="Times New Roman" w:cs="Times New Roman"/>
        </w:rPr>
      </w:pPr>
      <w:r w:rsidRPr="00701580">
        <w:rPr>
          <w:rStyle w:val="FootnoteReference"/>
          <w:rFonts w:ascii="Times New Roman" w:hAnsi="Times New Roman" w:cs="Times New Roman"/>
          <w:vertAlign w:val="baseline"/>
        </w:rPr>
        <w:footnoteRef/>
      </w:r>
      <w:r w:rsidRPr="00701580">
        <w:rPr>
          <w:rFonts w:ascii="Times New Roman" w:hAnsi="Times New Roman" w:cs="Times New Roman"/>
        </w:rPr>
        <w:t xml:space="preserve"> </w:t>
      </w:r>
      <w:proofErr w:type="gramStart"/>
      <w:r w:rsidRPr="00701580">
        <w:rPr>
          <w:rFonts w:ascii="Times New Roman" w:hAnsi="Times New Roman" w:cs="Times New Roman"/>
        </w:rPr>
        <w:t>Maastricht Graduate School of Governance (MGSoG) | UNU-MERIT, Keizer Karelplein 19, 6211 TC Maastricht, the Netherlands.</w:t>
      </w:r>
      <w:proofErr w:type="gramEnd"/>
      <w:r w:rsidRPr="00701580">
        <w:rPr>
          <w:rFonts w:ascii="Times New Roman" w:hAnsi="Times New Roman" w:cs="Times New Roman"/>
        </w:rPr>
        <w:t xml:space="preserve"> Email: c.loschmann@maastrichtuniversity.nl.</w:t>
      </w:r>
    </w:p>
    <w:p w:rsidR="005B53DF" w:rsidRDefault="005B53DF" w:rsidP="00701580">
      <w:pPr>
        <w:pStyle w:val="FootnoteText"/>
        <w:jc w:val="both"/>
        <w:rPr>
          <w:rFonts w:ascii="Times New Roman" w:hAnsi="Times New Roman" w:cs="Times New Roman"/>
          <w:szCs w:val="18"/>
        </w:rPr>
      </w:pPr>
    </w:p>
    <w:p w:rsidR="00BE7394" w:rsidRPr="00701580" w:rsidRDefault="00BE7394" w:rsidP="00701580">
      <w:pPr>
        <w:pStyle w:val="FootnoteText"/>
        <w:jc w:val="both"/>
        <w:rPr>
          <w:rFonts w:ascii="Times New Roman" w:hAnsi="Times New Roman" w:cs="Times New Roman"/>
          <w:sz w:val="22"/>
        </w:rPr>
      </w:pPr>
      <w:r w:rsidRPr="00701580">
        <w:rPr>
          <w:rFonts w:ascii="Times New Roman" w:hAnsi="Times New Roman" w:cs="Times New Roman"/>
          <w:szCs w:val="18"/>
        </w:rPr>
        <w:t xml:space="preserve">I am grateful to the UNHCR for funding the data collection in Afghanistan. Moreover, I am indebted to both Sonja Fransen and Melissa Siegel for their valuable feedback on an earlier version of this paper, as well as attendees of the </w:t>
      </w:r>
      <w:r w:rsidR="00557435">
        <w:rPr>
          <w:rFonts w:ascii="Times New Roman" w:hAnsi="Times New Roman" w:cs="Times New Roman"/>
          <w:szCs w:val="18"/>
        </w:rPr>
        <w:t>XXXX</w:t>
      </w:r>
      <w:r w:rsidRPr="00701580">
        <w:rPr>
          <w:rFonts w:ascii="Times New Roman" w:hAnsi="Times New Roman" w:cs="Times New Roman"/>
          <w:szCs w:val="18"/>
        </w:rPr>
        <w:t xml:space="preserve"> for timely and useful comments. </w:t>
      </w:r>
      <w:r w:rsidR="005B53DF">
        <w:rPr>
          <w:rFonts w:ascii="Times New Roman" w:hAnsi="Times New Roman" w:cs="Times New Roman"/>
          <w:szCs w:val="18"/>
        </w:rPr>
        <w:t xml:space="preserve">The findings, interpretations and conclusions expressed in this paper are solely mine and do not necessarily reflect policies </w:t>
      </w:r>
      <w:r w:rsidR="004179DF">
        <w:rPr>
          <w:rFonts w:ascii="Times New Roman" w:hAnsi="Times New Roman" w:cs="Times New Roman"/>
          <w:szCs w:val="18"/>
        </w:rPr>
        <w:t xml:space="preserve">or </w:t>
      </w:r>
      <w:r w:rsidR="005B53DF">
        <w:rPr>
          <w:rFonts w:ascii="Times New Roman" w:hAnsi="Times New Roman" w:cs="Times New Roman"/>
          <w:szCs w:val="18"/>
        </w:rPr>
        <w:t xml:space="preserve">views of MGSoG </w:t>
      </w:r>
      <w:r w:rsidR="004179DF">
        <w:rPr>
          <w:rFonts w:ascii="Times New Roman" w:hAnsi="Times New Roman" w:cs="Times New Roman"/>
          <w:szCs w:val="18"/>
        </w:rPr>
        <w:t xml:space="preserve">| </w:t>
      </w:r>
      <w:r w:rsidR="005B53DF">
        <w:rPr>
          <w:rFonts w:ascii="Times New Roman" w:hAnsi="Times New Roman" w:cs="Times New Roman"/>
          <w:szCs w:val="18"/>
        </w:rPr>
        <w:t xml:space="preserve">UNU-MERIT. </w:t>
      </w:r>
      <w:r w:rsidRPr="00701580">
        <w:rPr>
          <w:rFonts w:ascii="Times New Roman" w:hAnsi="Times New Roman" w:cs="Times New Roman"/>
          <w:szCs w:val="18"/>
        </w:rPr>
        <w:t xml:space="preserve">All </w:t>
      </w:r>
      <w:r w:rsidR="005B53DF">
        <w:rPr>
          <w:rFonts w:ascii="Times New Roman" w:hAnsi="Times New Roman" w:cs="Times New Roman"/>
          <w:szCs w:val="18"/>
        </w:rPr>
        <w:t>remaining errors are my own</w:t>
      </w:r>
      <w:r w:rsidRPr="00701580">
        <w:rPr>
          <w:rFonts w:ascii="Times New Roman" w:hAnsi="Times New Roman" w:cs="Times New Roman"/>
          <w:szCs w:val="18"/>
        </w:rPr>
        <w:t>.</w:t>
      </w:r>
    </w:p>
  </w:footnote>
  <w:footnote w:id="2">
    <w:p w:rsidR="00BE7394" w:rsidRPr="00701580" w:rsidRDefault="00BE7394" w:rsidP="00701580">
      <w:pPr>
        <w:pStyle w:val="FootnoteText"/>
        <w:jc w:val="both"/>
        <w:rPr>
          <w:rFonts w:ascii="Times New Roman" w:hAnsi="Times New Roman" w:cs="Times New Roman"/>
        </w:rPr>
      </w:pPr>
      <w:r w:rsidRPr="00701580">
        <w:rPr>
          <w:rStyle w:val="FootnoteReference"/>
          <w:rFonts w:ascii="Times New Roman" w:hAnsi="Times New Roman" w:cs="Times New Roman"/>
        </w:rPr>
        <w:footnoteRef/>
      </w:r>
      <w:r w:rsidRPr="00701580">
        <w:rPr>
          <w:rFonts w:ascii="Times New Roman" w:hAnsi="Times New Roman" w:cs="Times New Roman"/>
        </w:rPr>
        <w:t xml:space="preserve"> The household survey was originally collected to evaluate UNHCR’s shelter assistance program implemented across Afghanistan. For more information, see the full report (MGSoG and Samuel Hall Consulting, 2013).</w:t>
      </w:r>
    </w:p>
  </w:footnote>
  <w:footnote w:id="3">
    <w:p w:rsidR="00BE7394" w:rsidRPr="00701580" w:rsidRDefault="00BE7394" w:rsidP="00701580">
      <w:pPr>
        <w:pStyle w:val="FootnoteText"/>
        <w:jc w:val="both"/>
        <w:rPr>
          <w:rFonts w:ascii="Times New Roman" w:hAnsi="Times New Roman" w:cs="Times New Roman"/>
        </w:rPr>
      </w:pPr>
      <w:r w:rsidRPr="00701580">
        <w:rPr>
          <w:rStyle w:val="FootnoteReference"/>
          <w:rFonts w:ascii="Times New Roman" w:hAnsi="Times New Roman" w:cs="Times New Roman"/>
        </w:rPr>
        <w:footnoteRef/>
      </w:r>
      <w:r w:rsidRPr="00701580">
        <w:rPr>
          <w:rFonts w:ascii="Times New Roman" w:hAnsi="Times New Roman" w:cs="Times New Roman"/>
        </w:rPr>
        <w:t xml:space="preserve"> We exclude return migrants from our sample in order to minimize any potential selection bias.</w:t>
      </w:r>
    </w:p>
  </w:footnote>
  <w:footnote w:id="4">
    <w:p w:rsidR="00BE7394" w:rsidRPr="00701580" w:rsidRDefault="00BE7394" w:rsidP="00701580">
      <w:pPr>
        <w:pStyle w:val="FootnoteText"/>
        <w:jc w:val="both"/>
        <w:rPr>
          <w:rFonts w:ascii="Times New Roman" w:hAnsi="Times New Roman" w:cs="Times New Roman"/>
        </w:rPr>
      </w:pPr>
      <w:r w:rsidRPr="00701580">
        <w:rPr>
          <w:rStyle w:val="FootnoteReference"/>
          <w:rFonts w:ascii="Times New Roman" w:hAnsi="Times New Roman" w:cs="Times New Roman"/>
        </w:rPr>
        <w:footnoteRef/>
      </w:r>
      <w:r w:rsidRPr="00701580">
        <w:rPr>
          <w:rFonts w:ascii="Times New Roman" w:hAnsi="Times New Roman" w:cs="Times New Roman"/>
        </w:rPr>
        <w:t xml:space="preserve"> Any displacement in general can be considered involuntary. However, restricting our sample to those who moved due to these four reasons helps strengthen our argument that displacement in this case is influenced by exogenous forces leaving less potential for selection bias. The other reasons for displacement include: no land or housing, no access to arable or pastoral land, no access to food and water, no access to health services, no access to education and no access to employment opportunities. </w:t>
      </w:r>
    </w:p>
  </w:footnote>
  <w:footnote w:id="5">
    <w:p w:rsidR="00BE7394" w:rsidRPr="00701580" w:rsidRDefault="00BE7394" w:rsidP="00701580">
      <w:pPr>
        <w:pStyle w:val="FootnoteText"/>
        <w:jc w:val="both"/>
        <w:rPr>
          <w:rFonts w:ascii="Times New Roman" w:hAnsi="Times New Roman" w:cs="Times New Roman"/>
        </w:rPr>
      </w:pPr>
      <w:r w:rsidRPr="00701580">
        <w:rPr>
          <w:rStyle w:val="FootnoteReference"/>
          <w:rFonts w:ascii="Times New Roman" w:hAnsi="Times New Roman" w:cs="Times New Roman"/>
        </w:rPr>
        <w:footnoteRef/>
      </w:r>
      <w:r w:rsidRPr="00701580">
        <w:rPr>
          <w:rFonts w:ascii="Times New Roman" w:hAnsi="Times New Roman" w:cs="Times New Roman"/>
        </w:rPr>
        <w:t xml:space="preserve"> We exclude the category “only girls attend school” due to the low number of observations. Moreover, we do not consider households where no school-aged children are present.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1004"/>
    <w:multiLevelType w:val="hybridMultilevel"/>
    <w:tmpl w:val="5C5EF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D7509"/>
    <w:multiLevelType w:val="hybridMultilevel"/>
    <w:tmpl w:val="7834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B744B"/>
    <w:multiLevelType w:val="multilevel"/>
    <w:tmpl w:val="735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23"/>
    <w:rsid w:val="00000538"/>
    <w:rsid w:val="000146BF"/>
    <w:rsid w:val="000146E7"/>
    <w:rsid w:val="00014D40"/>
    <w:rsid w:val="0001573F"/>
    <w:rsid w:val="00015CFB"/>
    <w:rsid w:val="00016954"/>
    <w:rsid w:val="00020678"/>
    <w:rsid w:val="00024ABE"/>
    <w:rsid w:val="00027048"/>
    <w:rsid w:val="00027BA5"/>
    <w:rsid w:val="00027D06"/>
    <w:rsid w:val="000335AE"/>
    <w:rsid w:val="00033E8C"/>
    <w:rsid w:val="00044EE7"/>
    <w:rsid w:val="000453E2"/>
    <w:rsid w:val="000557C7"/>
    <w:rsid w:val="00056EB3"/>
    <w:rsid w:val="00057A57"/>
    <w:rsid w:val="00061813"/>
    <w:rsid w:val="000660F7"/>
    <w:rsid w:val="000661C8"/>
    <w:rsid w:val="000703EF"/>
    <w:rsid w:val="00070756"/>
    <w:rsid w:val="00073414"/>
    <w:rsid w:val="00073B72"/>
    <w:rsid w:val="00074491"/>
    <w:rsid w:val="000748CD"/>
    <w:rsid w:val="0007725A"/>
    <w:rsid w:val="00080F44"/>
    <w:rsid w:val="00085DA4"/>
    <w:rsid w:val="000867B0"/>
    <w:rsid w:val="000871BF"/>
    <w:rsid w:val="000909D2"/>
    <w:rsid w:val="000929D7"/>
    <w:rsid w:val="000936C9"/>
    <w:rsid w:val="000957E0"/>
    <w:rsid w:val="00095B22"/>
    <w:rsid w:val="0009618E"/>
    <w:rsid w:val="00096C1C"/>
    <w:rsid w:val="000A1FEA"/>
    <w:rsid w:val="000A2839"/>
    <w:rsid w:val="000A4A1B"/>
    <w:rsid w:val="000B0943"/>
    <w:rsid w:val="000B213A"/>
    <w:rsid w:val="000B3DAE"/>
    <w:rsid w:val="000B4D49"/>
    <w:rsid w:val="000B6660"/>
    <w:rsid w:val="000C1C4A"/>
    <w:rsid w:val="000C20E4"/>
    <w:rsid w:val="000C533E"/>
    <w:rsid w:val="000D03B2"/>
    <w:rsid w:val="000D1A80"/>
    <w:rsid w:val="000D6C63"/>
    <w:rsid w:val="000E0D14"/>
    <w:rsid w:val="000E0F24"/>
    <w:rsid w:val="000E233C"/>
    <w:rsid w:val="000E537A"/>
    <w:rsid w:val="000E571C"/>
    <w:rsid w:val="000E7253"/>
    <w:rsid w:val="000E7708"/>
    <w:rsid w:val="000F0CC2"/>
    <w:rsid w:val="000F418E"/>
    <w:rsid w:val="00102138"/>
    <w:rsid w:val="0010297E"/>
    <w:rsid w:val="00102D18"/>
    <w:rsid w:val="00104B47"/>
    <w:rsid w:val="00105CEF"/>
    <w:rsid w:val="00106BA5"/>
    <w:rsid w:val="0011044E"/>
    <w:rsid w:val="00112A0D"/>
    <w:rsid w:val="00113BD3"/>
    <w:rsid w:val="00114FD1"/>
    <w:rsid w:val="001154B2"/>
    <w:rsid w:val="0011666C"/>
    <w:rsid w:val="00123465"/>
    <w:rsid w:val="001308AD"/>
    <w:rsid w:val="0013224E"/>
    <w:rsid w:val="00143FD4"/>
    <w:rsid w:val="001460C0"/>
    <w:rsid w:val="00146345"/>
    <w:rsid w:val="00146F20"/>
    <w:rsid w:val="00147B8B"/>
    <w:rsid w:val="001527DE"/>
    <w:rsid w:val="00155033"/>
    <w:rsid w:val="00155A79"/>
    <w:rsid w:val="001572B2"/>
    <w:rsid w:val="00157DF6"/>
    <w:rsid w:val="00163BCB"/>
    <w:rsid w:val="00166CA8"/>
    <w:rsid w:val="0017074B"/>
    <w:rsid w:val="001707A7"/>
    <w:rsid w:val="00171CE8"/>
    <w:rsid w:val="00172456"/>
    <w:rsid w:val="001732A0"/>
    <w:rsid w:val="00173CB9"/>
    <w:rsid w:val="001749F5"/>
    <w:rsid w:val="001752C4"/>
    <w:rsid w:val="00187679"/>
    <w:rsid w:val="00190717"/>
    <w:rsid w:val="001936E2"/>
    <w:rsid w:val="00193A68"/>
    <w:rsid w:val="001A21B9"/>
    <w:rsid w:val="001A79F9"/>
    <w:rsid w:val="001B0242"/>
    <w:rsid w:val="001B0658"/>
    <w:rsid w:val="001B6666"/>
    <w:rsid w:val="001B7676"/>
    <w:rsid w:val="001C169C"/>
    <w:rsid w:val="001C4CB4"/>
    <w:rsid w:val="001C64AE"/>
    <w:rsid w:val="001C6FEC"/>
    <w:rsid w:val="001C76DB"/>
    <w:rsid w:val="001D1DAB"/>
    <w:rsid w:val="001D2B06"/>
    <w:rsid w:val="001D5DA7"/>
    <w:rsid w:val="001D7FB6"/>
    <w:rsid w:val="001E637C"/>
    <w:rsid w:val="001E639A"/>
    <w:rsid w:val="001F111A"/>
    <w:rsid w:val="001F11FC"/>
    <w:rsid w:val="001F1260"/>
    <w:rsid w:val="001F25D4"/>
    <w:rsid w:val="001F2890"/>
    <w:rsid w:val="001F28D7"/>
    <w:rsid w:val="001F2A66"/>
    <w:rsid w:val="001F2B11"/>
    <w:rsid w:val="001F3877"/>
    <w:rsid w:val="001F468A"/>
    <w:rsid w:val="001F5171"/>
    <w:rsid w:val="001F6EEB"/>
    <w:rsid w:val="001F7861"/>
    <w:rsid w:val="00200CB5"/>
    <w:rsid w:val="00201C0D"/>
    <w:rsid w:val="00206003"/>
    <w:rsid w:val="00207B97"/>
    <w:rsid w:val="00207DC1"/>
    <w:rsid w:val="00211467"/>
    <w:rsid w:val="002128F7"/>
    <w:rsid w:val="00214723"/>
    <w:rsid w:val="002149F6"/>
    <w:rsid w:val="00220976"/>
    <w:rsid w:val="00220AF9"/>
    <w:rsid w:val="00220B71"/>
    <w:rsid w:val="00221729"/>
    <w:rsid w:val="00230495"/>
    <w:rsid w:val="002312AD"/>
    <w:rsid w:val="00232C5C"/>
    <w:rsid w:val="00236B37"/>
    <w:rsid w:val="00237912"/>
    <w:rsid w:val="00237F27"/>
    <w:rsid w:val="00240BFD"/>
    <w:rsid w:val="002478CA"/>
    <w:rsid w:val="00250B6F"/>
    <w:rsid w:val="00251DBD"/>
    <w:rsid w:val="002523C7"/>
    <w:rsid w:val="00252FCE"/>
    <w:rsid w:val="002554A1"/>
    <w:rsid w:val="00261A3B"/>
    <w:rsid w:val="00265BCE"/>
    <w:rsid w:val="00267688"/>
    <w:rsid w:val="00267B19"/>
    <w:rsid w:val="0027268C"/>
    <w:rsid w:val="00272AF4"/>
    <w:rsid w:val="002804D3"/>
    <w:rsid w:val="00281044"/>
    <w:rsid w:val="002867FD"/>
    <w:rsid w:val="00292657"/>
    <w:rsid w:val="002A2A53"/>
    <w:rsid w:val="002A34E0"/>
    <w:rsid w:val="002A4A85"/>
    <w:rsid w:val="002A713B"/>
    <w:rsid w:val="002A759E"/>
    <w:rsid w:val="002A7A77"/>
    <w:rsid w:val="002A7D4C"/>
    <w:rsid w:val="002B2AE1"/>
    <w:rsid w:val="002B3E93"/>
    <w:rsid w:val="002C0F95"/>
    <w:rsid w:val="002C1071"/>
    <w:rsid w:val="002C1E4E"/>
    <w:rsid w:val="002D1C51"/>
    <w:rsid w:val="002D3825"/>
    <w:rsid w:val="002D4ABA"/>
    <w:rsid w:val="002D4D39"/>
    <w:rsid w:val="002E0284"/>
    <w:rsid w:val="002E0CBE"/>
    <w:rsid w:val="002E2863"/>
    <w:rsid w:val="002E2BA6"/>
    <w:rsid w:val="002E2E89"/>
    <w:rsid w:val="002E62E8"/>
    <w:rsid w:val="002E6B61"/>
    <w:rsid w:val="002F076D"/>
    <w:rsid w:val="002F1EDA"/>
    <w:rsid w:val="002F3D4B"/>
    <w:rsid w:val="0030048F"/>
    <w:rsid w:val="00310627"/>
    <w:rsid w:val="003113C0"/>
    <w:rsid w:val="00312E77"/>
    <w:rsid w:val="00315E06"/>
    <w:rsid w:val="00317B5F"/>
    <w:rsid w:val="003219D5"/>
    <w:rsid w:val="00322E0D"/>
    <w:rsid w:val="00323E53"/>
    <w:rsid w:val="00325749"/>
    <w:rsid w:val="00325DD2"/>
    <w:rsid w:val="00327217"/>
    <w:rsid w:val="00332091"/>
    <w:rsid w:val="00333581"/>
    <w:rsid w:val="00333F0A"/>
    <w:rsid w:val="00345A99"/>
    <w:rsid w:val="00346F70"/>
    <w:rsid w:val="003474BF"/>
    <w:rsid w:val="003501E6"/>
    <w:rsid w:val="00352E12"/>
    <w:rsid w:val="00353E1D"/>
    <w:rsid w:val="00354A9E"/>
    <w:rsid w:val="003555E1"/>
    <w:rsid w:val="003618D7"/>
    <w:rsid w:val="0036269A"/>
    <w:rsid w:val="003641BD"/>
    <w:rsid w:val="00366809"/>
    <w:rsid w:val="00367082"/>
    <w:rsid w:val="003702FC"/>
    <w:rsid w:val="003730A3"/>
    <w:rsid w:val="00376817"/>
    <w:rsid w:val="00376B7D"/>
    <w:rsid w:val="00381032"/>
    <w:rsid w:val="003819CF"/>
    <w:rsid w:val="0038602E"/>
    <w:rsid w:val="00392F4B"/>
    <w:rsid w:val="00397A34"/>
    <w:rsid w:val="00397CE5"/>
    <w:rsid w:val="00397DE4"/>
    <w:rsid w:val="003A0F43"/>
    <w:rsid w:val="003A1E6A"/>
    <w:rsid w:val="003A3841"/>
    <w:rsid w:val="003A3AA5"/>
    <w:rsid w:val="003A639E"/>
    <w:rsid w:val="003B03A7"/>
    <w:rsid w:val="003B108B"/>
    <w:rsid w:val="003B21A0"/>
    <w:rsid w:val="003B5678"/>
    <w:rsid w:val="003B5BD9"/>
    <w:rsid w:val="003B5E71"/>
    <w:rsid w:val="003B75C4"/>
    <w:rsid w:val="003C016A"/>
    <w:rsid w:val="003C4351"/>
    <w:rsid w:val="003C53FD"/>
    <w:rsid w:val="003C6D88"/>
    <w:rsid w:val="003D5344"/>
    <w:rsid w:val="003E30E8"/>
    <w:rsid w:val="003E34EE"/>
    <w:rsid w:val="003E520F"/>
    <w:rsid w:val="003F0E32"/>
    <w:rsid w:val="003F19AA"/>
    <w:rsid w:val="003F27D7"/>
    <w:rsid w:val="003F5CBB"/>
    <w:rsid w:val="003F6397"/>
    <w:rsid w:val="0040093D"/>
    <w:rsid w:val="00400B64"/>
    <w:rsid w:val="00401528"/>
    <w:rsid w:val="00402026"/>
    <w:rsid w:val="00402054"/>
    <w:rsid w:val="004033C3"/>
    <w:rsid w:val="00410B52"/>
    <w:rsid w:val="004110BA"/>
    <w:rsid w:val="00411B53"/>
    <w:rsid w:val="00412CDF"/>
    <w:rsid w:val="004142C1"/>
    <w:rsid w:val="004179DF"/>
    <w:rsid w:val="00425396"/>
    <w:rsid w:val="00431978"/>
    <w:rsid w:val="0043411C"/>
    <w:rsid w:val="00435E99"/>
    <w:rsid w:val="0043619B"/>
    <w:rsid w:val="004407FA"/>
    <w:rsid w:val="00440C18"/>
    <w:rsid w:val="00444DCF"/>
    <w:rsid w:val="004453FA"/>
    <w:rsid w:val="00446CA3"/>
    <w:rsid w:val="004538BE"/>
    <w:rsid w:val="00456898"/>
    <w:rsid w:val="0046466B"/>
    <w:rsid w:val="0046742E"/>
    <w:rsid w:val="00467946"/>
    <w:rsid w:val="00467D41"/>
    <w:rsid w:val="004705DA"/>
    <w:rsid w:val="00470FE2"/>
    <w:rsid w:val="00471070"/>
    <w:rsid w:val="004726D7"/>
    <w:rsid w:val="004737EF"/>
    <w:rsid w:val="004740A6"/>
    <w:rsid w:val="0048041F"/>
    <w:rsid w:val="00481D5E"/>
    <w:rsid w:val="00482194"/>
    <w:rsid w:val="004823A2"/>
    <w:rsid w:val="0048347C"/>
    <w:rsid w:val="00491DB1"/>
    <w:rsid w:val="004920BF"/>
    <w:rsid w:val="004925D1"/>
    <w:rsid w:val="0049534E"/>
    <w:rsid w:val="004A0839"/>
    <w:rsid w:val="004A2259"/>
    <w:rsid w:val="004A4007"/>
    <w:rsid w:val="004A60CB"/>
    <w:rsid w:val="004A7822"/>
    <w:rsid w:val="004B5098"/>
    <w:rsid w:val="004B6FDA"/>
    <w:rsid w:val="004C0087"/>
    <w:rsid w:val="004C2B0A"/>
    <w:rsid w:val="004C7F45"/>
    <w:rsid w:val="004D0839"/>
    <w:rsid w:val="004D1EA1"/>
    <w:rsid w:val="004D3079"/>
    <w:rsid w:val="004D350B"/>
    <w:rsid w:val="004D35AB"/>
    <w:rsid w:val="004E1362"/>
    <w:rsid w:val="004E4735"/>
    <w:rsid w:val="004E4F66"/>
    <w:rsid w:val="004E6E12"/>
    <w:rsid w:val="004F063C"/>
    <w:rsid w:val="004F1668"/>
    <w:rsid w:val="004F3760"/>
    <w:rsid w:val="004F4C36"/>
    <w:rsid w:val="004F7CBF"/>
    <w:rsid w:val="005058E4"/>
    <w:rsid w:val="00510F10"/>
    <w:rsid w:val="005155AF"/>
    <w:rsid w:val="005160BC"/>
    <w:rsid w:val="00516890"/>
    <w:rsid w:val="00516EFA"/>
    <w:rsid w:val="00520362"/>
    <w:rsid w:val="00521AE9"/>
    <w:rsid w:val="00521C63"/>
    <w:rsid w:val="00523F7D"/>
    <w:rsid w:val="00524DB6"/>
    <w:rsid w:val="0053283F"/>
    <w:rsid w:val="00533BAE"/>
    <w:rsid w:val="005365C3"/>
    <w:rsid w:val="005428AE"/>
    <w:rsid w:val="005441A3"/>
    <w:rsid w:val="00546F01"/>
    <w:rsid w:val="00547A04"/>
    <w:rsid w:val="00547BAD"/>
    <w:rsid w:val="00551E1C"/>
    <w:rsid w:val="00557435"/>
    <w:rsid w:val="00563427"/>
    <w:rsid w:val="00566447"/>
    <w:rsid w:val="0056668C"/>
    <w:rsid w:val="00572127"/>
    <w:rsid w:val="00576F18"/>
    <w:rsid w:val="00577055"/>
    <w:rsid w:val="005776F9"/>
    <w:rsid w:val="00577D29"/>
    <w:rsid w:val="005806BE"/>
    <w:rsid w:val="005839FD"/>
    <w:rsid w:val="00587265"/>
    <w:rsid w:val="0059006D"/>
    <w:rsid w:val="00593B09"/>
    <w:rsid w:val="005952C7"/>
    <w:rsid w:val="005A3B5C"/>
    <w:rsid w:val="005B0982"/>
    <w:rsid w:val="005B1238"/>
    <w:rsid w:val="005B43FD"/>
    <w:rsid w:val="005B53DF"/>
    <w:rsid w:val="005B7C00"/>
    <w:rsid w:val="005B7C0C"/>
    <w:rsid w:val="005C0BF6"/>
    <w:rsid w:val="005C39DE"/>
    <w:rsid w:val="005C4735"/>
    <w:rsid w:val="005C695C"/>
    <w:rsid w:val="005C6DEE"/>
    <w:rsid w:val="005D2D61"/>
    <w:rsid w:val="005D4573"/>
    <w:rsid w:val="005E2426"/>
    <w:rsid w:val="005E36F1"/>
    <w:rsid w:val="005E44D3"/>
    <w:rsid w:val="005E4A7F"/>
    <w:rsid w:val="005E6123"/>
    <w:rsid w:val="005E6632"/>
    <w:rsid w:val="005F6D97"/>
    <w:rsid w:val="00602C27"/>
    <w:rsid w:val="0060617F"/>
    <w:rsid w:val="006065B2"/>
    <w:rsid w:val="00606983"/>
    <w:rsid w:val="00611319"/>
    <w:rsid w:val="00615AF9"/>
    <w:rsid w:val="006210B9"/>
    <w:rsid w:val="00624456"/>
    <w:rsid w:val="006415D5"/>
    <w:rsid w:val="00644733"/>
    <w:rsid w:val="00646070"/>
    <w:rsid w:val="006500A6"/>
    <w:rsid w:val="006522F2"/>
    <w:rsid w:val="0065370C"/>
    <w:rsid w:val="00654B77"/>
    <w:rsid w:val="00655A9B"/>
    <w:rsid w:val="006626A8"/>
    <w:rsid w:val="00670D03"/>
    <w:rsid w:val="00670EBC"/>
    <w:rsid w:val="00671A9B"/>
    <w:rsid w:val="0067282E"/>
    <w:rsid w:val="00673350"/>
    <w:rsid w:val="00674BB7"/>
    <w:rsid w:val="00674D86"/>
    <w:rsid w:val="006802FF"/>
    <w:rsid w:val="00680F2A"/>
    <w:rsid w:val="00681225"/>
    <w:rsid w:val="00681593"/>
    <w:rsid w:val="006839C0"/>
    <w:rsid w:val="006841FA"/>
    <w:rsid w:val="006845BF"/>
    <w:rsid w:val="00684A19"/>
    <w:rsid w:val="00687BB0"/>
    <w:rsid w:val="00693D2C"/>
    <w:rsid w:val="00694908"/>
    <w:rsid w:val="006955F9"/>
    <w:rsid w:val="006968C6"/>
    <w:rsid w:val="0069699E"/>
    <w:rsid w:val="00696C18"/>
    <w:rsid w:val="00696EE9"/>
    <w:rsid w:val="006A22A3"/>
    <w:rsid w:val="006A3553"/>
    <w:rsid w:val="006A6800"/>
    <w:rsid w:val="006A70A0"/>
    <w:rsid w:val="006B27B9"/>
    <w:rsid w:val="006B2F93"/>
    <w:rsid w:val="006B4815"/>
    <w:rsid w:val="006B5F7B"/>
    <w:rsid w:val="006B7D3A"/>
    <w:rsid w:val="006B7D90"/>
    <w:rsid w:val="006C2F57"/>
    <w:rsid w:val="006C4D6E"/>
    <w:rsid w:val="006D1466"/>
    <w:rsid w:val="006D1F8C"/>
    <w:rsid w:val="006D2795"/>
    <w:rsid w:val="006D381A"/>
    <w:rsid w:val="006D4782"/>
    <w:rsid w:val="006E27CC"/>
    <w:rsid w:val="006E34FB"/>
    <w:rsid w:val="006E48AB"/>
    <w:rsid w:val="006F53C7"/>
    <w:rsid w:val="006F5ECD"/>
    <w:rsid w:val="006F7C7A"/>
    <w:rsid w:val="00701580"/>
    <w:rsid w:val="0070272A"/>
    <w:rsid w:val="00707AD5"/>
    <w:rsid w:val="00713676"/>
    <w:rsid w:val="00721EB6"/>
    <w:rsid w:val="0072567A"/>
    <w:rsid w:val="00726DF7"/>
    <w:rsid w:val="00726FAE"/>
    <w:rsid w:val="0073321D"/>
    <w:rsid w:val="00735AD9"/>
    <w:rsid w:val="00735B7E"/>
    <w:rsid w:val="00735BB9"/>
    <w:rsid w:val="00743020"/>
    <w:rsid w:val="00743BEE"/>
    <w:rsid w:val="00743F58"/>
    <w:rsid w:val="0074477A"/>
    <w:rsid w:val="00745017"/>
    <w:rsid w:val="00750405"/>
    <w:rsid w:val="007550AE"/>
    <w:rsid w:val="007560C5"/>
    <w:rsid w:val="00756CC9"/>
    <w:rsid w:val="00760250"/>
    <w:rsid w:val="00760E11"/>
    <w:rsid w:val="007662C7"/>
    <w:rsid w:val="007663EB"/>
    <w:rsid w:val="00770D13"/>
    <w:rsid w:val="00771465"/>
    <w:rsid w:val="0077150A"/>
    <w:rsid w:val="0077150D"/>
    <w:rsid w:val="007738E8"/>
    <w:rsid w:val="007745CB"/>
    <w:rsid w:val="00776138"/>
    <w:rsid w:val="0077717B"/>
    <w:rsid w:val="007778BE"/>
    <w:rsid w:val="007802DA"/>
    <w:rsid w:val="00781496"/>
    <w:rsid w:val="00784606"/>
    <w:rsid w:val="00786981"/>
    <w:rsid w:val="0079150A"/>
    <w:rsid w:val="00791969"/>
    <w:rsid w:val="0079585B"/>
    <w:rsid w:val="007B1CDA"/>
    <w:rsid w:val="007B5A48"/>
    <w:rsid w:val="007C264C"/>
    <w:rsid w:val="007C5964"/>
    <w:rsid w:val="007C6BD6"/>
    <w:rsid w:val="007D6EF4"/>
    <w:rsid w:val="007D7D1E"/>
    <w:rsid w:val="007E1128"/>
    <w:rsid w:val="007E215E"/>
    <w:rsid w:val="007E24D9"/>
    <w:rsid w:val="007E7816"/>
    <w:rsid w:val="007F60B0"/>
    <w:rsid w:val="007F6587"/>
    <w:rsid w:val="00800185"/>
    <w:rsid w:val="00800652"/>
    <w:rsid w:val="00803B29"/>
    <w:rsid w:val="00806AA3"/>
    <w:rsid w:val="00810C57"/>
    <w:rsid w:val="00811A65"/>
    <w:rsid w:val="00813B3F"/>
    <w:rsid w:val="0081409E"/>
    <w:rsid w:val="008152A1"/>
    <w:rsid w:val="008241EC"/>
    <w:rsid w:val="00824B9F"/>
    <w:rsid w:val="00824F29"/>
    <w:rsid w:val="00827562"/>
    <w:rsid w:val="00827DB7"/>
    <w:rsid w:val="00832FF8"/>
    <w:rsid w:val="00835AA5"/>
    <w:rsid w:val="00840282"/>
    <w:rsid w:val="00840958"/>
    <w:rsid w:val="0084185F"/>
    <w:rsid w:val="00842304"/>
    <w:rsid w:val="00844695"/>
    <w:rsid w:val="00844972"/>
    <w:rsid w:val="0085219B"/>
    <w:rsid w:val="00852B0E"/>
    <w:rsid w:val="00853F30"/>
    <w:rsid w:val="00856E84"/>
    <w:rsid w:val="00857809"/>
    <w:rsid w:val="00857B71"/>
    <w:rsid w:val="00860C54"/>
    <w:rsid w:val="00861F3B"/>
    <w:rsid w:val="00863B56"/>
    <w:rsid w:val="00864E95"/>
    <w:rsid w:val="008669A7"/>
    <w:rsid w:val="00867169"/>
    <w:rsid w:val="008671D1"/>
    <w:rsid w:val="008678D6"/>
    <w:rsid w:val="0087060F"/>
    <w:rsid w:val="00871760"/>
    <w:rsid w:val="00874878"/>
    <w:rsid w:val="00877F56"/>
    <w:rsid w:val="0088020B"/>
    <w:rsid w:val="00881811"/>
    <w:rsid w:val="00883DC9"/>
    <w:rsid w:val="00884B0F"/>
    <w:rsid w:val="00885525"/>
    <w:rsid w:val="008874A8"/>
    <w:rsid w:val="00893894"/>
    <w:rsid w:val="00893BBF"/>
    <w:rsid w:val="00895C0B"/>
    <w:rsid w:val="00897A1E"/>
    <w:rsid w:val="008A1DFC"/>
    <w:rsid w:val="008A2364"/>
    <w:rsid w:val="008A284E"/>
    <w:rsid w:val="008A7C69"/>
    <w:rsid w:val="008B0DC1"/>
    <w:rsid w:val="008B1C09"/>
    <w:rsid w:val="008B6A04"/>
    <w:rsid w:val="008B6F96"/>
    <w:rsid w:val="008C0301"/>
    <w:rsid w:val="008C19A4"/>
    <w:rsid w:val="008C4CB3"/>
    <w:rsid w:val="008D26AD"/>
    <w:rsid w:val="008D76ED"/>
    <w:rsid w:val="008E6C7E"/>
    <w:rsid w:val="008E7900"/>
    <w:rsid w:val="008F07A4"/>
    <w:rsid w:val="008F3431"/>
    <w:rsid w:val="008F35A6"/>
    <w:rsid w:val="008F6826"/>
    <w:rsid w:val="00900203"/>
    <w:rsid w:val="00903738"/>
    <w:rsid w:val="00903D18"/>
    <w:rsid w:val="009104DC"/>
    <w:rsid w:val="0091240A"/>
    <w:rsid w:val="00912F2B"/>
    <w:rsid w:val="00916230"/>
    <w:rsid w:val="00916712"/>
    <w:rsid w:val="00922D91"/>
    <w:rsid w:val="00925EAD"/>
    <w:rsid w:val="0092689C"/>
    <w:rsid w:val="0092690D"/>
    <w:rsid w:val="00927BDE"/>
    <w:rsid w:val="009318BB"/>
    <w:rsid w:val="00933439"/>
    <w:rsid w:val="009334A1"/>
    <w:rsid w:val="009335F2"/>
    <w:rsid w:val="0093428B"/>
    <w:rsid w:val="009344AA"/>
    <w:rsid w:val="00934513"/>
    <w:rsid w:val="0093676A"/>
    <w:rsid w:val="00937962"/>
    <w:rsid w:val="00940B66"/>
    <w:rsid w:val="00947A32"/>
    <w:rsid w:val="009518B8"/>
    <w:rsid w:val="0095446A"/>
    <w:rsid w:val="00957560"/>
    <w:rsid w:val="0096118A"/>
    <w:rsid w:val="00967ACD"/>
    <w:rsid w:val="009710E9"/>
    <w:rsid w:val="0097247B"/>
    <w:rsid w:val="00972E57"/>
    <w:rsid w:val="00974845"/>
    <w:rsid w:val="00974C93"/>
    <w:rsid w:val="009765F9"/>
    <w:rsid w:val="00976F96"/>
    <w:rsid w:val="0098297C"/>
    <w:rsid w:val="00985332"/>
    <w:rsid w:val="00985C29"/>
    <w:rsid w:val="00987DD0"/>
    <w:rsid w:val="00990EE9"/>
    <w:rsid w:val="00990FD3"/>
    <w:rsid w:val="009931C5"/>
    <w:rsid w:val="00993729"/>
    <w:rsid w:val="009937BE"/>
    <w:rsid w:val="009969F9"/>
    <w:rsid w:val="00996CF7"/>
    <w:rsid w:val="0099722C"/>
    <w:rsid w:val="00997992"/>
    <w:rsid w:val="00997CBC"/>
    <w:rsid w:val="00997E78"/>
    <w:rsid w:val="009A478D"/>
    <w:rsid w:val="009A6CC0"/>
    <w:rsid w:val="009A786F"/>
    <w:rsid w:val="009A79DD"/>
    <w:rsid w:val="009B09FF"/>
    <w:rsid w:val="009B14E3"/>
    <w:rsid w:val="009B1A02"/>
    <w:rsid w:val="009B2940"/>
    <w:rsid w:val="009B4E49"/>
    <w:rsid w:val="009B5169"/>
    <w:rsid w:val="009B55AE"/>
    <w:rsid w:val="009B57B0"/>
    <w:rsid w:val="009B5A26"/>
    <w:rsid w:val="009B6C43"/>
    <w:rsid w:val="009B7779"/>
    <w:rsid w:val="009C1716"/>
    <w:rsid w:val="009C1FD0"/>
    <w:rsid w:val="009C5912"/>
    <w:rsid w:val="009C62EC"/>
    <w:rsid w:val="009C6B51"/>
    <w:rsid w:val="009C7F2A"/>
    <w:rsid w:val="009C7FAB"/>
    <w:rsid w:val="009D1D52"/>
    <w:rsid w:val="009D2515"/>
    <w:rsid w:val="009D2F48"/>
    <w:rsid w:val="009D54B7"/>
    <w:rsid w:val="009D5722"/>
    <w:rsid w:val="009F060A"/>
    <w:rsid w:val="009F0CA9"/>
    <w:rsid w:val="009F6424"/>
    <w:rsid w:val="009F73BC"/>
    <w:rsid w:val="009F7CD2"/>
    <w:rsid w:val="00A01419"/>
    <w:rsid w:val="00A015FA"/>
    <w:rsid w:val="00A02970"/>
    <w:rsid w:val="00A03557"/>
    <w:rsid w:val="00A0511C"/>
    <w:rsid w:val="00A05740"/>
    <w:rsid w:val="00A0791B"/>
    <w:rsid w:val="00A10462"/>
    <w:rsid w:val="00A105AB"/>
    <w:rsid w:val="00A10BBF"/>
    <w:rsid w:val="00A121FF"/>
    <w:rsid w:val="00A126A4"/>
    <w:rsid w:val="00A13EC3"/>
    <w:rsid w:val="00A14A15"/>
    <w:rsid w:val="00A16E01"/>
    <w:rsid w:val="00A24CF7"/>
    <w:rsid w:val="00A27176"/>
    <w:rsid w:val="00A2771A"/>
    <w:rsid w:val="00A31983"/>
    <w:rsid w:val="00A33D15"/>
    <w:rsid w:val="00A34239"/>
    <w:rsid w:val="00A34F67"/>
    <w:rsid w:val="00A36CFB"/>
    <w:rsid w:val="00A43FC1"/>
    <w:rsid w:val="00A442C7"/>
    <w:rsid w:val="00A51588"/>
    <w:rsid w:val="00A54927"/>
    <w:rsid w:val="00A55063"/>
    <w:rsid w:val="00A56179"/>
    <w:rsid w:val="00A56745"/>
    <w:rsid w:val="00A56E83"/>
    <w:rsid w:val="00A57085"/>
    <w:rsid w:val="00A61608"/>
    <w:rsid w:val="00A619AD"/>
    <w:rsid w:val="00A630F5"/>
    <w:rsid w:val="00A63917"/>
    <w:rsid w:val="00A65C03"/>
    <w:rsid w:val="00A667AC"/>
    <w:rsid w:val="00A70B5E"/>
    <w:rsid w:val="00A71512"/>
    <w:rsid w:val="00A71875"/>
    <w:rsid w:val="00A73209"/>
    <w:rsid w:val="00A736C2"/>
    <w:rsid w:val="00A74194"/>
    <w:rsid w:val="00A775B4"/>
    <w:rsid w:val="00A775DE"/>
    <w:rsid w:val="00A77993"/>
    <w:rsid w:val="00A80BAB"/>
    <w:rsid w:val="00A81155"/>
    <w:rsid w:val="00A81723"/>
    <w:rsid w:val="00A82CDD"/>
    <w:rsid w:val="00A846FA"/>
    <w:rsid w:val="00A901CC"/>
    <w:rsid w:val="00A938CD"/>
    <w:rsid w:val="00A94B96"/>
    <w:rsid w:val="00A95569"/>
    <w:rsid w:val="00A95C40"/>
    <w:rsid w:val="00A962ED"/>
    <w:rsid w:val="00A96FBA"/>
    <w:rsid w:val="00A97990"/>
    <w:rsid w:val="00AA1DD4"/>
    <w:rsid w:val="00AA25E0"/>
    <w:rsid w:val="00AA2A36"/>
    <w:rsid w:val="00AA6ABB"/>
    <w:rsid w:val="00AA7F35"/>
    <w:rsid w:val="00AB06B3"/>
    <w:rsid w:val="00AB23EC"/>
    <w:rsid w:val="00AB5995"/>
    <w:rsid w:val="00AB6464"/>
    <w:rsid w:val="00AC1667"/>
    <w:rsid w:val="00AC2F78"/>
    <w:rsid w:val="00AC44CD"/>
    <w:rsid w:val="00AC54FB"/>
    <w:rsid w:val="00AD1E94"/>
    <w:rsid w:val="00AD3C70"/>
    <w:rsid w:val="00AD593A"/>
    <w:rsid w:val="00AE1B46"/>
    <w:rsid w:val="00AE2C60"/>
    <w:rsid w:val="00AE2E8D"/>
    <w:rsid w:val="00AE47C2"/>
    <w:rsid w:val="00AE503B"/>
    <w:rsid w:val="00AE5869"/>
    <w:rsid w:val="00AE5AD4"/>
    <w:rsid w:val="00AF133A"/>
    <w:rsid w:val="00AF1D32"/>
    <w:rsid w:val="00AF2534"/>
    <w:rsid w:val="00AF7C00"/>
    <w:rsid w:val="00B00E56"/>
    <w:rsid w:val="00B0266D"/>
    <w:rsid w:val="00B052EB"/>
    <w:rsid w:val="00B07FDD"/>
    <w:rsid w:val="00B11E66"/>
    <w:rsid w:val="00B11EF5"/>
    <w:rsid w:val="00B133FF"/>
    <w:rsid w:val="00B157A9"/>
    <w:rsid w:val="00B207B1"/>
    <w:rsid w:val="00B24D27"/>
    <w:rsid w:val="00B26C64"/>
    <w:rsid w:val="00B3439A"/>
    <w:rsid w:val="00B37643"/>
    <w:rsid w:val="00B45386"/>
    <w:rsid w:val="00B455A4"/>
    <w:rsid w:val="00B506AB"/>
    <w:rsid w:val="00B510E2"/>
    <w:rsid w:val="00B51613"/>
    <w:rsid w:val="00B51876"/>
    <w:rsid w:val="00B54838"/>
    <w:rsid w:val="00B60D23"/>
    <w:rsid w:val="00B6368C"/>
    <w:rsid w:val="00B6514D"/>
    <w:rsid w:val="00B706F3"/>
    <w:rsid w:val="00B70B92"/>
    <w:rsid w:val="00B72179"/>
    <w:rsid w:val="00B727E5"/>
    <w:rsid w:val="00B72CAF"/>
    <w:rsid w:val="00B74861"/>
    <w:rsid w:val="00B75A6A"/>
    <w:rsid w:val="00B75AB3"/>
    <w:rsid w:val="00B80010"/>
    <w:rsid w:val="00B80C0C"/>
    <w:rsid w:val="00B84728"/>
    <w:rsid w:val="00B84912"/>
    <w:rsid w:val="00B90B4B"/>
    <w:rsid w:val="00B9115A"/>
    <w:rsid w:val="00B96A37"/>
    <w:rsid w:val="00BA20AB"/>
    <w:rsid w:val="00BA2C18"/>
    <w:rsid w:val="00BA3A25"/>
    <w:rsid w:val="00BA47AB"/>
    <w:rsid w:val="00BA5A53"/>
    <w:rsid w:val="00BA6436"/>
    <w:rsid w:val="00BA7B31"/>
    <w:rsid w:val="00BB00DB"/>
    <w:rsid w:val="00BB2A00"/>
    <w:rsid w:val="00BB2C9A"/>
    <w:rsid w:val="00BB5155"/>
    <w:rsid w:val="00BB5FFF"/>
    <w:rsid w:val="00BB7B09"/>
    <w:rsid w:val="00BC3248"/>
    <w:rsid w:val="00BC38AC"/>
    <w:rsid w:val="00BC5A3D"/>
    <w:rsid w:val="00BD2199"/>
    <w:rsid w:val="00BD2A8B"/>
    <w:rsid w:val="00BD4661"/>
    <w:rsid w:val="00BD4748"/>
    <w:rsid w:val="00BD62D5"/>
    <w:rsid w:val="00BD7739"/>
    <w:rsid w:val="00BE09A6"/>
    <w:rsid w:val="00BE0A92"/>
    <w:rsid w:val="00BE1FBE"/>
    <w:rsid w:val="00BE2E72"/>
    <w:rsid w:val="00BE4E9C"/>
    <w:rsid w:val="00BE7394"/>
    <w:rsid w:val="00BF0BB7"/>
    <w:rsid w:val="00BF11CE"/>
    <w:rsid w:val="00BF2C63"/>
    <w:rsid w:val="00BF3B1E"/>
    <w:rsid w:val="00BF44BA"/>
    <w:rsid w:val="00BF4525"/>
    <w:rsid w:val="00BF5DAD"/>
    <w:rsid w:val="00BF6FCC"/>
    <w:rsid w:val="00BF7260"/>
    <w:rsid w:val="00BF79D3"/>
    <w:rsid w:val="00C0226A"/>
    <w:rsid w:val="00C038CF"/>
    <w:rsid w:val="00C045CB"/>
    <w:rsid w:val="00C06A21"/>
    <w:rsid w:val="00C07E8D"/>
    <w:rsid w:val="00C10A54"/>
    <w:rsid w:val="00C11A32"/>
    <w:rsid w:val="00C13F15"/>
    <w:rsid w:val="00C167A7"/>
    <w:rsid w:val="00C176FA"/>
    <w:rsid w:val="00C2369D"/>
    <w:rsid w:val="00C23FD6"/>
    <w:rsid w:val="00C30ABC"/>
    <w:rsid w:val="00C311F9"/>
    <w:rsid w:val="00C34089"/>
    <w:rsid w:val="00C40BC1"/>
    <w:rsid w:val="00C437E1"/>
    <w:rsid w:val="00C43D36"/>
    <w:rsid w:val="00C43F32"/>
    <w:rsid w:val="00C50712"/>
    <w:rsid w:val="00C53DE9"/>
    <w:rsid w:val="00C579CB"/>
    <w:rsid w:val="00C57CAC"/>
    <w:rsid w:val="00C615A3"/>
    <w:rsid w:val="00C61C27"/>
    <w:rsid w:val="00C73FAE"/>
    <w:rsid w:val="00C80694"/>
    <w:rsid w:val="00C80F3D"/>
    <w:rsid w:val="00C83301"/>
    <w:rsid w:val="00C8697C"/>
    <w:rsid w:val="00C86AE6"/>
    <w:rsid w:val="00C8707D"/>
    <w:rsid w:val="00C9205B"/>
    <w:rsid w:val="00C94352"/>
    <w:rsid w:val="00C94607"/>
    <w:rsid w:val="00C946D0"/>
    <w:rsid w:val="00C97B36"/>
    <w:rsid w:val="00CA0E51"/>
    <w:rsid w:val="00CA37D3"/>
    <w:rsid w:val="00CA7BA1"/>
    <w:rsid w:val="00CB0E36"/>
    <w:rsid w:val="00CB1772"/>
    <w:rsid w:val="00CB4F99"/>
    <w:rsid w:val="00CB5891"/>
    <w:rsid w:val="00CB6277"/>
    <w:rsid w:val="00CB6AB6"/>
    <w:rsid w:val="00CB6D77"/>
    <w:rsid w:val="00CB7107"/>
    <w:rsid w:val="00CB7640"/>
    <w:rsid w:val="00CC134C"/>
    <w:rsid w:val="00CC1F4F"/>
    <w:rsid w:val="00CD0090"/>
    <w:rsid w:val="00CD2B8A"/>
    <w:rsid w:val="00CE4E22"/>
    <w:rsid w:val="00CE5DB9"/>
    <w:rsid w:val="00CE629D"/>
    <w:rsid w:val="00CE758B"/>
    <w:rsid w:val="00CF171D"/>
    <w:rsid w:val="00D02B94"/>
    <w:rsid w:val="00D0499D"/>
    <w:rsid w:val="00D075CD"/>
    <w:rsid w:val="00D13FA0"/>
    <w:rsid w:val="00D14A4A"/>
    <w:rsid w:val="00D23B24"/>
    <w:rsid w:val="00D24374"/>
    <w:rsid w:val="00D25E1E"/>
    <w:rsid w:val="00D269A0"/>
    <w:rsid w:val="00D322B4"/>
    <w:rsid w:val="00D327FF"/>
    <w:rsid w:val="00D40CCD"/>
    <w:rsid w:val="00D429C0"/>
    <w:rsid w:val="00D45DA1"/>
    <w:rsid w:val="00D53DF7"/>
    <w:rsid w:val="00D5431F"/>
    <w:rsid w:val="00D63D18"/>
    <w:rsid w:val="00D71DC6"/>
    <w:rsid w:val="00D739E8"/>
    <w:rsid w:val="00D7424A"/>
    <w:rsid w:val="00D74E62"/>
    <w:rsid w:val="00D75123"/>
    <w:rsid w:val="00D77C00"/>
    <w:rsid w:val="00D81CDA"/>
    <w:rsid w:val="00D83B4B"/>
    <w:rsid w:val="00D86019"/>
    <w:rsid w:val="00D86C1E"/>
    <w:rsid w:val="00D9433D"/>
    <w:rsid w:val="00D96E12"/>
    <w:rsid w:val="00DA12F4"/>
    <w:rsid w:val="00DA25D9"/>
    <w:rsid w:val="00DB2B02"/>
    <w:rsid w:val="00DB6CD1"/>
    <w:rsid w:val="00DC48CD"/>
    <w:rsid w:val="00DC4D77"/>
    <w:rsid w:val="00DC4FA8"/>
    <w:rsid w:val="00DC6C93"/>
    <w:rsid w:val="00DD1CCD"/>
    <w:rsid w:val="00DD4B5D"/>
    <w:rsid w:val="00DD693F"/>
    <w:rsid w:val="00DE073D"/>
    <w:rsid w:val="00DE0FB4"/>
    <w:rsid w:val="00DE1BB8"/>
    <w:rsid w:val="00DE35A7"/>
    <w:rsid w:val="00DE659D"/>
    <w:rsid w:val="00DE6DBB"/>
    <w:rsid w:val="00DE7676"/>
    <w:rsid w:val="00DF2E4E"/>
    <w:rsid w:val="00DF3605"/>
    <w:rsid w:val="00DF6D5C"/>
    <w:rsid w:val="00DF6F54"/>
    <w:rsid w:val="00DF716E"/>
    <w:rsid w:val="00DF7D66"/>
    <w:rsid w:val="00DF7F80"/>
    <w:rsid w:val="00E116F6"/>
    <w:rsid w:val="00E1490C"/>
    <w:rsid w:val="00E23B21"/>
    <w:rsid w:val="00E23FE8"/>
    <w:rsid w:val="00E2577B"/>
    <w:rsid w:val="00E32E00"/>
    <w:rsid w:val="00E4675E"/>
    <w:rsid w:val="00E47A11"/>
    <w:rsid w:val="00E50DD1"/>
    <w:rsid w:val="00E5104F"/>
    <w:rsid w:val="00E52408"/>
    <w:rsid w:val="00E54560"/>
    <w:rsid w:val="00E5481D"/>
    <w:rsid w:val="00E54B88"/>
    <w:rsid w:val="00E57098"/>
    <w:rsid w:val="00E603C9"/>
    <w:rsid w:val="00E60545"/>
    <w:rsid w:val="00E61282"/>
    <w:rsid w:val="00E6211E"/>
    <w:rsid w:val="00E63A8A"/>
    <w:rsid w:val="00E65DC4"/>
    <w:rsid w:val="00E66C28"/>
    <w:rsid w:val="00E670AA"/>
    <w:rsid w:val="00E67845"/>
    <w:rsid w:val="00E70E17"/>
    <w:rsid w:val="00E72699"/>
    <w:rsid w:val="00E760D7"/>
    <w:rsid w:val="00E762A3"/>
    <w:rsid w:val="00E803BF"/>
    <w:rsid w:val="00E80491"/>
    <w:rsid w:val="00E85D3C"/>
    <w:rsid w:val="00E90AC8"/>
    <w:rsid w:val="00E91747"/>
    <w:rsid w:val="00E92BB8"/>
    <w:rsid w:val="00E9327B"/>
    <w:rsid w:val="00E934C5"/>
    <w:rsid w:val="00EA1169"/>
    <w:rsid w:val="00EA38D9"/>
    <w:rsid w:val="00EA3A37"/>
    <w:rsid w:val="00EA3BAA"/>
    <w:rsid w:val="00EA68FE"/>
    <w:rsid w:val="00EA6906"/>
    <w:rsid w:val="00EB1FA7"/>
    <w:rsid w:val="00EB42A8"/>
    <w:rsid w:val="00EB6ECC"/>
    <w:rsid w:val="00EB700A"/>
    <w:rsid w:val="00EB74E0"/>
    <w:rsid w:val="00EB75AB"/>
    <w:rsid w:val="00EB7EB3"/>
    <w:rsid w:val="00EC0506"/>
    <w:rsid w:val="00EC19B0"/>
    <w:rsid w:val="00EC39C4"/>
    <w:rsid w:val="00EC4732"/>
    <w:rsid w:val="00ED1E88"/>
    <w:rsid w:val="00ED58CD"/>
    <w:rsid w:val="00ED61AF"/>
    <w:rsid w:val="00EE12D1"/>
    <w:rsid w:val="00EE1B0E"/>
    <w:rsid w:val="00EE3A26"/>
    <w:rsid w:val="00EE775F"/>
    <w:rsid w:val="00EF0055"/>
    <w:rsid w:val="00EF0319"/>
    <w:rsid w:val="00EF083E"/>
    <w:rsid w:val="00EF15D0"/>
    <w:rsid w:val="00EF2F9B"/>
    <w:rsid w:val="00EF3475"/>
    <w:rsid w:val="00EF5231"/>
    <w:rsid w:val="00EF742D"/>
    <w:rsid w:val="00F002CC"/>
    <w:rsid w:val="00F02677"/>
    <w:rsid w:val="00F02B43"/>
    <w:rsid w:val="00F03920"/>
    <w:rsid w:val="00F03E24"/>
    <w:rsid w:val="00F05F54"/>
    <w:rsid w:val="00F1097F"/>
    <w:rsid w:val="00F12307"/>
    <w:rsid w:val="00F14355"/>
    <w:rsid w:val="00F17B21"/>
    <w:rsid w:val="00F2106C"/>
    <w:rsid w:val="00F234DD"/>
    <w:rsid w:val="00F271FA"/>
    <w:rsid w:val="00F30977"/>
    <w:rsid w:val="00F30B4D"/>
    <w:rsid w:val="00F354B7"/>
    <w:rsid w:val="00F430E0"/>
    <w:rsid w:val="00F474F5"/>
    <w:rsid w:val="00F50D8F"/>
    <w:rsid w:val="00F537E5"/>
    <w:rsid w:val="00F54E36"/>
    <w:rsid w:val="00F56661"/>
    <w:rsid w:val="00F567DC"/>
    <w:rsid w:val="00F60E61"/>
    <w:rsid w:val="00F67687"/>
    <w:rsid w:val="00F709A6"/>
    <w:rsid w:val="00F72C8B"/>
    <w:rsid w:val="00F73363"/>
    <w:rsid w:val="00F74E3C"/>
    <w:rsid w:val="00F76C06"/>
    <w:rsid w:val="00F77216"/>
    <w:rsid w:val="00F8184D"/>
    <w:rsid w:val="00F8367C"/>
    <w:rsid w:val="00F84C27"/>
    <w:rsid w:val="00F91989"/>
    <w:rsid w:val="00F949CC"/>
    <w:rsid w:val="00F94A99"/>
    <w:rsid w:val="00F95638"/>
    <w:rsid w:val="00FA12AB"/>
    <w:rsid w:val="00FA20BC"/>
    <w:rsid w:val="00FA6837"/>
    <w:rsid w:val="00FA6A21"/>
    <w:rsid w:val="00FA6E9A"/>
    <w:rsid w:val="00FB4C69"/>
    <w:rsid w:val="00FC7B53"/>
    <w:rsid w:val="00FD12FD"/>
    <w:rsid w:val="00FD4467"/>
    <w:rsid w:val="00FD50B6"/>
    <w:rsid w:val="00FD512B"/>
    <w:rsid w:val="00FD5151"/>
    <w:rsid w:val="00FD5484"/>
    <w:rsid w:val="00FD5B19"/>
    <w:rsid w:val="00FD73AF"/>
    <w:rsid w:val="00FE0136"/>
    <w:rsid w:val="00FE0941"/>
    <w:rsid w:val="00FE22E0"/>
    <w:rsid w:val="00FE2D94"/>
    <w:rsid w:val="00FE2DCF"/>
    <w:rsid w:val="00FE3646"/>
    <w:rsid w:val="00FE7F96"/>
    <w:rsid w:val="00FF1FCB"/>
    <w:rsid w:val="00FF27EA"/>
    <w:rsid w:val="00FF5173"/>
    <w:rsid w:val="00FF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23"/>
    <w:pPr>
      <w:spacing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555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795"/>
    <w:pPr>
      <w:ind w:left="720"/>
      <w:contextualSpacing/>
    </w:pPr>
  </w:style>
  <w:style w:type="character" w:styleId="FootnoteReference">
    <w:name w:val="footnote reference"/>
    <w:basedOn w:val="DefaultParagraphFont"/>
    <w:uiPriority w:val="99"/>
    <w:unhideWhenUsed/>
    <w:rsid w:val="006D2795"/>
    <w:rPr>
      <w:vertAlign w:val="superscript"/>
    </w:rPr>
  </w:style>
  <w:style w:type="paragraph" w:styleId="FootnoteText">
    <w:name w:val="footnote text"/>
    <w:basedOn w:val="Normal"/>
    <w:link w:val="FootnoteTextChar"/>
    <w:uiPriority w:val="99"/>
    <w:unhideWhenUsed/>
    <w:rsid w:val="006D2795"/>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6D2795"/>
    <w:rPr>
      <w:sz w:val="20"/>
      <w:szCs w:val="20"/>
    </w:rPr>
  </w:style>
  <w:style w:type="character" w:styleId="LineNumber">
    <w:name w:val="line number"/>
    <w:basedOn w:val="DefaultParagraphFont"/>
    <w:uiPriority w:val="99"/>
    <w:semiHidden/>
    <w:unhideWhenUsed/>
    <w:rsid w:val="00800652"/>
  </w:style>
  <w:style w:type="paragraph" w:styleId="Header">
    <w:name w:val="header"/>
    <w:basedOn w:val="Normal"/>
    <w:link w:val="HeaderChar"/>
    <w:uiPriority w:val="99"/>
    <w:unhideWhenUsed/>
    <w:rsid w:val="00800652"/>
    <w:pPr>
      <w:tabs>
        <w:tab w:val="center" w:pos="4680"/>
        <w:tab w:val="right" w:pos="9360"/>
      </w:tabs>
      <w:spacing w:line="240" w:lineRule="auto"/>
    </w:pPr>
  </w:style>
  <w:style w:type="character" w:customStyle="1" w:styleId="HeaderChar">
    <w:name w:val="Header Char"/>
    <w:basedOn w:val="DefaultParagraphFont"/>
    <w:link w:val="Header"/>
    <w:uiPriority w:val="99"/>
    <w:rsid w:val="00800652"/>
    <w:rPr>
      <w:rFonts w:ascii="Times New Roman" w:hAnsi="Times New Roman" w:cs="Times New Roman"/>
      <w:sz w:val="24"/>
      <w:szCs w:val="24"/>
    </w:rPr>
  </w:style>
  <w:style w:type="paragraph" w:styleId="Footer">
    <w:name w:val="footer"/>
    <w:basedOn w:val="Normal"/>
    <w:link w:val="FooterChar"/>
    <w:uiPriority w:val="99"/>
    <w:unhideWhenUsed/>
    <w:rsid w:val="00800652"/>
    <w:pPr>
      <w:tabs>
        <w:tab w:val="center" w:pos="4680"/>
        <w:tab w:val="right" w:pos="9360"/>
      </w:tabs>
      <w:spacing w:line="240" w:lineRule="auto"/>
    </w:pPr>
  </w:style>
  <w:style w:type="character" w:customStyle="1" w:styleId="FooterChar">
    <w:name w:val="Footer Char"/>
    <w:basedOn w:val="DefaultParagraphFont"/>
    <w:link w:val="Footer"/>
    <w:uiPriority w:val="99"/>
    <w:rsid w:val="0080065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527DE"/>
    <w:rPr>
      <w:sz w:val="16"/>
      <w:szCs w:val="16"/>
    </w:rPr>
  </w:style>
  <w:style w:type="paragraph" w:styleId="CommentText">
    <w:name w:val="annotation text"/>
    <w:basedOn w:val="Normal"/>
    <w:link w:val="CommentTextChar"/>
    <w:uiPriority w:val="99"/>
    <w:semiHidden/>
    <w:unhideWhenUsed/>
    <w:rsid w:val="001527DE"/>
    <w:pPr>
      <w:spacing w:line="240" w:lineRule="auto"/>
    </w:pPr>
    <w:rPr>
      <w:sz w:val="20"/>
      <w:szCs w:val="20"/>
    </w:rPr>
  </w:style>
  <w:style w:type="character" w:customStyle="1" w:styleId="CommentTextChar">
    <w:name w:val="Comment Text Char"/>
    <w:basedOn w:val="DefaultParagraphFont"/>
    <w:link w:val="CommentText"/>
    <w:uiPriority w:val="99"/>
    <w:semiHidden/>
    <w:rsid w:val="001527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27DE"/>
    <w:rPr>
      <w:b/>
      <w:bCs/>
    </w:rPr>
  </w:style>
  <w:style w:type="character" w:customStyle="1" w:styleId="CommentSubjectChar">
    <w:name w:val="Comment Subject Char"/>
    <w:basedOn w:val="CommentTextChar"/>
    <w:link w:val="CommentSubject"/>
    <w:uiPriority w:val="99"/>
    <w:semiHidden/>
    <w:rsid w:val="001527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527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DE"/>
    <w:rPr>
      <w:rFonts w:ascii="Tahoma" w:hAnsi="Tahoma" w:cs="Tahoma"/>
      <w:sz w:val="16"/>
      <w:szCs w:val="16"/>
    </w:rPr>
  </w:style>
  <w:style w:type="paragraph" w:styleId="EndnoteText">
    <w:name w:val="endnote text"/>
    <w:basedOn w:val="Normal"/>
    <w:link w:val="EndnoteTextChar"/>
    <w:uiPriority w:val="99"/>
    <w:semiHidden/>
    <w:unhideWhenUsed/>
    <w:rsid w:val="00252FCE"/>
    <w:pPr>
      <w:spacing w:line="240" w:lineRule="auto"/>
    </w:pPr>
    <w:rPr>
      <w:sz w:val="20"/>
      <w:szCs w:val="20"/>
    </w:rPr>
  </w:style>
  <w:style w:type="character" w:customStyle="1" w:styleId="EndnoteTextChar">
    <w:name w:val="Endnote Text Char"/>
    <w:basedOn w:val="DefaultParagraphFont"/>
    <w:link w:val="EndnoteText"/>
    <w:uiPriority w:val="99"/>
    <w:semiHidden/>
    <w:rsid w:val="00252FC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52FCE"/>
    <w:rPr>
      <w:vertAlign w:val="superscript"/>
    </w:rPr>
  </w:style>
  <w:style w:type="character" w:styleId="Hyperlink">
    <w:name w:val="Hyperlink"/>
    <w:basedOn w:val="DefaultParagraphFont"/>
    <w:uiPriority w:val="99"/>
    <w:unhideWhenUsed/>
    <w:rsid w:val="00172456"/>
    <w:rPr>
      <w:color w:val="0000FF" w:themeColor="hyperlink"/>
      <w:u w:val="single"/>
    </w:rPr>
  </w:style>
  <w:style w:type="character" w:customStyle="1" w:styleId="apple-converted-space">
    <w:name w:val="apple-converted-space"/>
    <w:basedOn w:val="DefaultParagraphFont"/>
    <w:rsid w:val="001F11FC"/>
  </w:style>
  <w:style w:type="character" w:customStyle="1" w:styleId="Heading1Char">
    <w:name w:val="Heading 1 Char"/>
    <w:basedOn w:val="DefaultParagraphFont"/>
    <w:link w:val="Heading1"/>
    <w:uiPriority w:val="9"/>
    <w:rsid w:val="003555E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55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23"/>
    <w:pPr>
      <w:spacing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555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795"/>
    <w:pPr>
      <w:ind w:left="720"/>
      <w:contextualSpacing/>
    </w:pPr>
  </w:style>
  <w:style w:type="character" w:styleId="FootnoteReference">
    <w:name w:val="footnote reference"/>
    <w:basedOn w:val="DefaultParagraphFont"/>
    <w:uiPriority w:val="99"/>
    <w:unhideWhenUsed/>
    <w:rsid w:val="006D2795"/>
    <w:rPr>
      <w:vertAlign w:val="superscript"/>
    </w:rPr>
  </w:style>
  <w:style w:type="paragraph" w:styleId="FootnoteText">
    <w:name w:val="footnote text"/>
    <w:basedOn w:val="Normal"/>
    <w:link w:val="FootnoteTextChar"/>
    <w:uiPriority w:val="99"/>
    <w:unhideWhenUsed/>
    <w:rsid w:val="006D2795"/>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6D2795"/>
    <w:rPr>
      <w:sz w:val="20"/>
      <w:szCs w:val="20"/>
    </w:rPr>
  </w:style>
  <w:style w:type="character" w:styleId="LineNumber">
    <w:name w:val="line number"/>
    <w:basedOn w:val="DefaultParagraphFont"/>
    <w:uiPriority w:val="99"/>
    <w:semiHidden/>
    <w:unhideWhenUsed/>
    <w:rsid w:val="00800652"/>
  </w:style>
  <w:style w:type="paragraph" w:styleId="Header">
    <w:name w:val="header"/>
    <w:basedOn w:val="Normal"/>
    <w:link w:val="HeaderChar"/>
    <w:uiPriority w:val="99"/>
    <w:unhideWhenUsed/>
    <w:rsid w:val="00800652"/>
    <w:pPr>
      <w:tabs>
        <w:tab w:val="center" w:pos="4680"/>
        <w:tab w:val="right" w:pos="9360"/>
      </w:tabs>
      <w:spacing w:line="240" w:lineRule="auto"/>
    </w:pPr>
  </w:style>
  <w:style w:type="character" w:customStyle="1" w:styleId="HeaderChar">
    <w:name w:val="Header Char"/>
    <w:basedOn w:val="DefaultParagraphFont"/>
    <w:link w:val="Header"/>
    <w:uiPriority w:val="99"/>
    <w:rsid w:val="00800652"/>
    <w:rPr>
      <w:rFonts w:ascii="Times New Roman" w:hAnsi="Times New Roman" w:cs="Times New Roman"/>
      <w:sz w:val="24"/>
      <w:szCs w:val="24"/>
    </w:rPr>
  </w:style>
  <w:style w:type="paragraph" w:styleId="Footer">
    <w:name w:val="footer"/>
    <w:basedOn w:val="Normal"/>
    <w:link w:val="FooterChar"/>
    <w:uiPriority w:val="99"/>
    <w:unhideWhenUsed/>
    <w:rsid w:val="00800652"/>
    <w:pPr>
      <w:tabs>
        <w:tab w:val="center" w:pos="4680"/>
        <w:tab w:val="right" w:pos="9360"/>
      </w:tabs>
      <w:spacing w:line="240" w:lineRule="auto"/>
    </w:pPr>
  </w:style>
  <w:style w:type="character" w:customStyle="1" w:styleId="FooterChar">
    <w:name w:val="Footer Char"/>
    <w:basedOn w:val="DefaultParagraphFont"/>
    <w:link w:val="Footer"/>
    <w:uiPriority w:val="99"/>
    <w:rsid w:val="0080065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527DE"/>
    <w:rPr>
      <w:sz w:val="16"/>
      <w:szCs w:val="16"/>
    </w:rPr>
  </w:style>
  <w:style w:type="paragraph" w:styleId="CommentText">
    <w:name w:val="annotation text"/>
    <w:basedOn w:val="Normal"/>
    <w:link w:val="CommentTextChar"/>
    <w:uiPriority w:val="99"/>
    <w:semiHidden/>
    <w:unhideWhenUsed/>
    <w:rsid w:val="001527DE"/>
    <w:pPr>
      <w:spacing w:line="240" w:lineRule="auto"/>
    </w:pPr>
    <w:rPr>
      <w:sz w:val="20"/>
      <w:szCs w:val="20"/>
    </w:rPr>
  </w:style>
  <w:style w:type="character" w:customStyle="1" w:styleId="CommentTextChar">
    <w:name w:val="Comment Text Char"/>
    <w:basedOn w:val="DefaultParagraphFont"/>
    <w:link w:val="CommentText"/>
    <w:uiPriority w:val="99"/>
    <w:semiHidden/>
    <w:rsid w:val="001527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27DE"/>
    <w:rPr>
      <w:b/>
      <w:bCs/>
    </w:rPr>
  </w:style>
  <w:style w:type="character" w:customStyle="1" w:styleId="CommentSubjectChar">
    <w:name w:val="Comment Subject Char"/>
    <w:basedOn w:val="CommentTextChar"/>
    <w:link w:val="CommentSubject"/>
    <w:uiPriority w:val="99"/>
    <w:semiHidden/>
    <w:rsid w:val="001527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527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DE"/>
    <w:rPr>
      <w:rFonts w:ascii="Tahoma" w:hAnsi="Tahoma" w:cs="Tahoma"/>
      <w:sz w:val="16"/>
      <w:szCs w:val="16"/>
    </w:rPr>
  </w:style>
  <w:style w:type="paragraph" w:styleId="EndnoteText">
    <w:name w:val="endnote text"/>
    <w:basedOn w:val="Normal"/>
    <w:link w:val="EndnoteTextChar"/>
    <w:uiPriority w:val="99"/>
    <w:semiHidden/>
    <w:unhideWhenUsed/>
    <w:rsid w:val="00252FCE"/>
    <w:pPr>
      <w:spacing w:line="240" w:lineRule="auto"/>
    </w:pPr>
    <w:rPr>
      <w:sz w:val="20"/>
      <w:szCs w:val="20"/>
    </w:rPr>
  </w:style>
  <w:style w:type="character" w:customStyle="1" w:styleId="EndnoteTextChar">
    <w:name w:val="Endnote Text Char"/>
    <w:basedOn w:val="DefaultParagraphFont"/>
    <w:link w:val="EndnoteText"/>
    <w:uiPriority w:val="99"/>
    <w:semiHidden/>
    <w:rsid w:val="00252FC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52FCE"/>
    <w:rPr>
      <w:vertAlign w:val="superscript"/>
    </w:rPr>
  </w:style>
  <w:style w:type="character" w:styleId="Hyperlink">
    <w:name w:val="Hyperlink"/>
    <w:basedOn w:val="DefaultParagraphFont"/>
    <w:uiPriority w:val="99"/>
    <w:unhideWhenUsed/>
    <w:rsid w:val="00172456"/>
    <w:rPr>
      <w:color w:val="0000FF" w:themeColor="hyperlink"/>
      <w:u w:val="single"/>
    </w:rPr>
  </w:style>
  <w:style w:type="character" w:customStyle="1" w:styleId="apple-converted-space">
    <w:name w:val="apple-converted-space"/>
    <w:basedOn w:val="DefaultParagraphFont"/>
    <w:rsid w:val="001F11FC"/>
  </w:style>
  <w:style w:type="character" w:customStyle="1" w:styleId="Heading1Char">
    <w:name w:val="Heading 1 Char"/>
    <w:basedOn w:val="DefaultParagraphFont"/>
    <w:link w:val="Heading1"/>
    <w:uiPriority w:val="9"/>
    <w:rsid w:val="003555E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5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557">
      <w:bodyDiv w:val="1"/>
      <w:marLeft w:val="0"/>
      <w:marRight w:val="0"/>
      <w:marTop w:val="0"/>
      <w:marBottom w:val="0"/>
      <w:divBdr>
        <w:top w:val="none" w:sz="0" w:space="0" w:color="auto"/>
        <w:left w:val="none" w:sz="0" w:space="0" w:color="auto"/>
        <w:bottom w:val="none" w:sz="0" w:space="0" w:color="auto"/>
        <w:right w:val="none" w:sz="0" w:space="0" w:color="auto"/>
      </w:divBdr>
    </w:div>
    <w:div w:id="26374647">
      <w:bodyDiv w:val="1"/>
      <w:marLeft w:val="0"/>
      <w:marRight w:val="0"/>
      <w:marTop w:val="0"/>
      <w:marBottom w:val="0"/>
      <w:divBdr>
        <w:top w:val="none" w:sz="0" w:space="0" w:color="auto"/>
        <w:left w:val="none" w:sz="0" w:space="0" w:color="auto"/>
        <w:bottom w:val="none" w:sz="0" w:space="0" w:color="auto"/>
        <w:right w:val="none" w:sz="0" w:space="0" w:color="auto"/>
      </w:divBdr>
    </w:div>
    <w:div w:id="47610697">
      <w:bodyDiv w:val="1"/>
      <w:marLeft w:val="0"/>
      <w:marRight w:val="0"/>
      <w:marTop w:val="0"/>
      <w:marBottom w:val="0"/>
      <w:divBdr>
        <w:top w:val="none" w:sz="0" w:space="0" w:color="auto"/>
        <w:left w:val="none" w:sz="0" w:space="0" w:color="auto"/>
        <w:bottom w:val="none" w:sz="0" w:space="0" w:color="auto"/>
        <w:right w:val="none" w:sz="0" w:space="0" w:color="auto"/>
      </w:divBdr>
    </w:div>
    <w:div w:id="50735369">
      <w:bodyDiv w:val="1"/>
      <w:marLeft w:val="0"/>
      <w:marRight w:val="0"/>
      <w:marTop w:val="0"/>
      <w:marBottom w:val="0"/>
      <w:divBdr>
        <w:top w:val="none" w:sz="0" w:space="0" w:color="auto"/>
        <w:left w:val="none" w:sz="0" w:space="0" w:color="auto"/>
        <w:bottom w:val="none" w:sz="0" w:space="0" w:color="auto"/>
        <w:right w:val="none" w:sz="0" w:space="0" w:color="auto"/>
      </w:divBdr>
    </w:div>
    <w:div w:id="139083226">
      <w:bodyDiv w:val="1"/>
      <w:marLeft w:val="0"/>
      <w:marRight w:val="0"/>
      <w:marTop w:val="0"/>
      <w:marBottom w:val="0"/>
      <w:divBdr>
        <w:top w:val="none" w:sz="0" w:space="0" w:color="auto"/>
        <w:left w:val="none" w:sz="0" w:space="0" w:color="auto"/>
        <w:bottom w:val="none" w:sz="0" w:space="0" w:color="auto"/>
        <w:right w:val="none" w:sz="0" w:space="0" w:color="auto"/>
      </w:divBdr>
    </w:div>
    <w:div w:id="211113089">
      <w:bodyDiv w:val="1"/>
      <w:marLeft w:val="0"/>
      <w:marRight w:val="0"/>
      <w:marTop w:val="0"/>
      <w:marBottom w:val="0"/>
      <w:divBdr>
        <w:top w:val="none" w:sz="0" w:space="0" w:color="auto"/>
        <w:left w:val="none" w:sz="0" w:space="0" w:color="auto"/>
        <w:bottom w:val="none" w:sz="0" w:space="0" w:color="auto"/>
        <w:right w:val="none" w:sz="0" w:space="0" w:color="auto"/>
      </w:divBdr>
    </w:div>
    <w:div w:id="264770100">
      <w:bodyDiv w:val="1"/>
      <w:marLeft w:val="0"/>
      <w:marRight w:val="0"/>
      <w:marTop w:val="0"/>
      <w:marBottom w:val="0"/>
      <w:divBdr>
        <w:top w:val="none" w:sz="0" w:space="0" w:color="auto"/>
        <w:left w:val="none" w:sz="0" w:space="0" w:color="auto"/>
        <w:bottom w:val="none" w:sz="0" w:space="0" w:color="auto"/>
        <w:right w:val="none" w:sz="0" w:space="0" w:color="auto"/>
      </w:divBdr>
    </w:div>
    <w:div w:id="271019166">
      <w:bodyDiv w:val="1"/>
      <w:marLeft w:val="0"/>
      <w:marRight w:val="0"/>
      <w:marTop w:val="0"/>
      <w:marBottom w:val="0"/>
      <w:divBdr>
        <w:top w:val="none" w:sz="0" w:space="0" w:color="auto"/>
        <w:left w:val="none" w:sz="0" w:space="0" w:color="auto"/>
        <w:bottom w:val="none" w:sz="0" w:space="0" w:color="auto"/>
        <w:right w:val="none" w:sz="0" w:space="0" w:color="auto"/>
      </w:divBdr>
    </w:div>
    <w:div w:id="280193249">
      <w:bodyDiv w:val="1"/>
      <w:marLeft w:val="0"/>
      <w:marRight w:val="0"/>
      <w:marTop w:val="0"/>
      <w:marBottom w:val="0"/>
      <w:divBdr>
        <w:top w:val="none" w:sz="0" w:space="0" w:color="auto"/>
        <w:left w:val="none" w:sz="0" w:space="0" w:color="auto"/>
        <w:bottom w:val="none" w:sz="0" w:space="0" w:color="auto"/>
        <w:right w:val="none" w:sz="0" w:space="0" w:color="auto"/>
      </w:divBdr>
    </w:div>
    <w:div w:id="426314162">
      <w:bodyDiv w:val="1"/>
      <w:marLeft w:val="0"/>
      <w:marRight w:val="0"/>
      <w:marTop w:val="0"/>
      <w:marBottom w:val="0"/>
      <w:divBdr>
        <w:top w:val="none" w:sz="0" w:space="0" w:color="auto"/>
        <w:left w:val="none" w:sz="0" w:space="0" w:color="auto"/>
        <w:bottom w:val="none" w:sz="0" w:space="0" w:color="auto"/>
        <w:right w:val="none" w:sz="0" w:space="0" w:color="auto"/>
      </w:divBdr>
    </w:div>
    <w:div w:id="454295846">
      <w:bodyDiv w:val="1"/>
      <w:marLeft w:val="0"/>
      <w:marRight w:val="0"/>
      <w:marTop w:val="0"/>
      <w:marBottom w:val="0"/>
      <w:divBdr>
        <w:top w:val="none" w:sz="0" w:space="0" w:color="auto"/>
        <w:left w:val="none" w:sz="0" w:space="0" w:color="auto"/>
        <w:bottom w:val="none" w:sz="0" w:space="0" w:color="auto"/>
        <w:right w:val="none" w:sz="0" w:space="0" w:color="auto"/>
      </w:divBdr>
    </w:div>
    <w:div w:id="457800406">
      <w:bodyDiv w:val="1"/>
      <w:marLeft w:val="0"/>
      <w:marRight w:val="0"/>
      <w:marTop w:val="0"/>
      <w:marBottom w:val="0"/>
      <w:divBdr>
        <w:top w:val="none" w:sz="0" w:space="0" w:color="auto"/>
        <w:left w:val="none" w:sz="0" w:space="0" w:color="auto"/>
        <w:bottom w:val="none" w:sz="0" w:space="0" w:color="auto"/>
        <w:right w:val="none" w:sz="0" w:space="0" w:color="auto"/>
      </w:divBdr>
    </w:div>
    <w:div w:id="554974295">
      <w:bodyDiv w:val="1"/>
      <w:marLeft w:val="0"/>
      <w:marRight w:val="0"/>
      <w:marTop w:val="0"/>
      <w:marBottom w:val="0"/>
      <w:divBdr>
        <w:top w:val="none" w:sz="0" w:space="0" w:color="auto"/>
        <w:left w:val="none" w:sz="0" w:space="0" w:color="auto"/>
        <w:bottom w:val="none" w:sz="0" w:space="0" w:color="auto"/>
        <w:right w:val="none" w:sz="0" w:space="0" w:color="auto"/>
      </w:divBdr>
    </w:div>
    <w:div w:id="680620198">
      <w:bodyDiv w:val="1"/>
      <w:marLeft w:val="0"/>
      <w:marRight w:val="0"/>
      <w:marTop w:val="0"/>
      <w:marBottom w:val="0"/>
      <w:divBdr>
        <w:top w:val="none" w:sz="0" w:space="0" w:color="auto"/>
        <w:left w:val="none" w:sz="0" w:space="0" w:color="auto"/>
        <w:bottom w:val="none" w:sz="0" w:space="0" w:color="auto"/>
        <w:right w:val="none" w:sz="0" w:space="0" w:color="auto"/>
      </w:divBdr>
    </w:div>
    <w:div w:id="705177632">
      <w:bodyDiv w:val="1"/>
      <w:marLeft w:val="0"/>
      <w:marRight w:val="0"/>
      <w:marTop w:val="0"/>
      <w:marBottom w:val="0"/>
      <w:divBdr>
        <w:top w:val="none" w:sz="0" w:space="0" w:color="auto"/>
        <w:left w:val="none" w:sz="0" w:space="0" w:color="auto"/>
        <w:bottom w:val="none" w:sz="0" w:space="0" w:color="auto"/>
        <w:right w:val="none" w:sz="0" w:space="0" w:color="auto"/>
      </w:divBdr>
    </w:div>
    <w:div w:id="708065423">
      <w:bodyDiv w:val="1"/>
      <w:marLeft w:val="0"/>
      <w:marRight w:val="0"/>
      <w:marTop w:val="0"/>
      <w:marBottom w:val="0"/>
      <w:divBdr>
        <w:top w:val="none" w:sz="0" w:space="0" w:color="auto"/>
        <w:left w:val="none" w:sz="0" w:space="0" w:color="auto"/>
        <w:bottom w:val="none" w:sz="0" w:space="0" w:color="auto"/>
        <w:right w:val="none" w:sz="0" w:space="0" w:color="auto"/>
      </w:divBdr>
    </w:div>
    <w:div w:id="720516966">
      <w:bodyDiv w:val="1"/>
      <w:marLeft w:val="0"/>
      <w:marRight w:val="0"/>
      <w:marTop w:val="0"/>
      <w:marBottom w:val="0"/>
      <w:divBdr>
        <w:top w:val="none" w:sz="0" w:space="0" w:color="auto"/>
        <w:left w:val="none" w:sz="0" w:space="0" w:color="auto"/>
        <w:bottom w:val="none" w:sz="0" w:space="0" w:color="auto"/>
        <w:right w:val="none" w:sz="0" w:space="0" w:color="auto"/>
      </w:divBdr>
    </w:div>
    <w:div w:id="757412650">
      <w:bodyDiv w:val="1"/>
      <w:marLeft w:val="0"/>
      <w:marRight w:val="0"/>
      <w:marTop w:val="0"/>
      <w:marBottom w:val="0"/>
      <w:divBdr>
        <w:top w:val="none" w:sz="0" w:space="0" w:color="auto"/>
        <w:left w:val="none" w:sz="0" w:space="0" w:color="auto"/>
        <w:bottom w:val="none" w:sz="0" w:space="0" w:color="auto"/>
        <w:right w:val="none" w:sz="0" w:space="0" w:color="auto"/>
      </w:divBdr>
    </w:div>
    <w:div w:id="865096976">
      <w:bodyDiv w:val="1"/>
      <w:marLeft w:val="0"/>
      <w:marRight w:val="0"/>
      <w:marTop w:val="0"/>
      <w:marBottom w:val="0"/>
      <w:divBdr>
        <w:top w:val="none" w:sz="0" w:space="0" w:color="auto"/>
        <w:left w:val="none" w:sz="0" w:space="0" w:color="auto"/>
        <w:bottom w:val="none" w:sz="0" w:space="0" w:color="auto"/>
        <w:right w:val="none" w:sz="0" w:space="0" w:color="auto"/>
      </w:divBdr>
    </w:div>
    <w:div w:id="979454548">
      <w:bodyDiv w:val="1"/>
      <w:marLeft w:val="0"/>
      <w:marRight w:val="0"/>
      <w:marTop w:val="0"/>
      <w:marBottom w:val="0"/>
      <w:divBdr>
        <w:top w:val="none" w:sz="0" w:space="0" w:color="auto"/>
        <w:left w:val="none" w:sz="0" w:space="0" w:color="auto"/>
        <w:bottom w:val="none" w:sz="0" w:space="0" w:color="auto"/>
        <w:right w:val="none" w:sz="0" w:space="0" w:color="auto"/>
      </w:divBdr>
    </w:div>
    <w:div w:id="987592989">
      <w:bodyDiv w:val="1"/>
      <w:marLeft w:val="0"/>
      <w:marRight w:val="0"/>
      <w:marTop w:val="0"/>
      <w:marBottom w:val="0"/>
      <w:divBdr>
        <w:top w:val="none" w:sz="0" w:space="0" w:color="auto"/>
        <w:left w:val="none" w:sz="0" w:space="0" w:color="auto"/>
        <w:bottom w:val="none" w:sz="0" w:space="0" w:color="auto"/>
        <w:right w:val="none" w:sz="0" w:space="0" w:color="auto"/>
      </w:divBdr>
    </w:div>
    <w:div w:id="997727486">
      <w:bodyDiv w:val="1"/>
      <w:marLeft w:val="0"/>
      <w:marRight w:val="0"/>
      <w:marTop w:val="0"/>
      <w:marBottom w:val="0"/>
      <w:divBdr>
        <w:top w:val="none" w:sz="0" w:space="0" w:color="auto"/>
        <w:left w:val="none" w:sz="0" w:space="0" w:color="auto"/>
        <w:bottom w:val="none" w:sz="0" w:space="0" w:color="auto"/>
        <w:right w:val="none" w:sz="0" w:space="0" w:color="auto"/>
      </w:divBdr>
    </w:div>
    <w:div w:id="1040981563">
      <w:bodyDiv w:val="1"/>
      <w:marLeft w:val="0"/>
      <w:marRight w:val="0"/>
      <w:marTop w:val="0"/>
      <w:marBottom w:val="0"/>
      <w:divBdr>
        <w:top w:val="none" w:sz="0" w:space="0" w:color="auto"/>
        <w:left w:val="none" w:sz="0" w:space="0" w:color="auto"/>
        <w:bottom w:val="none" w:sz="0" w:space="0" w:color="auto"/>
        <w:right w:val="none" w:sz="0" w:space="0" w:color="auto"/>
      </w:divBdr>
    </w:div>
    <w:div w:id="1060860214">
      <w:bodyDiv w:val="1"/>
      <w:marLeft w:val="0"/>
      <w:marRight w:val="0"/>
      <w:marTop w:val="0"/>
      <w:marBottom w:val="0"/>
      <w:divBdr>
        <w:top w:val="none" w:sz="0" w:space="0" w:color="auto"/>
        <w:left w:val="none" w:sz="0" w:space="0" w:color="auto"/>
        <w:bottom w:val="none" w:sz="0" w:space="0" w:color="auto"/>
        <w:right w:val="none" w:sz="0" w:space="0" w:color="auto"/>
      </w:divBdr>
    </w:div>
    <w:div w:id="1113864817">
      <w:bodyDiv w:val="1"/>
      <w:marLeft w:val="0"/>
      <w:marRight w:val="0"/>
      <w:marTop w:val="0"/>
      <w:marBottom w:val="0"/>
      <w:divBdr>
        <w:top w:val="none" w:sz="0" w:space="0" w:color="auto"/>
        <w:left w:val="none" w:sz="0" w:space="0" w:color="auto"/>
        <w:bottom w:val="none" w:sz="0" w:space="0" w:color="auto"/>
        <w:right w:val="none" w:sz="0" w:space="0" w:color="auto"/>
      </w:divBdr>
    </w:div>
    <w:div w:id="1162622231">
      <w:bodyDiv w:val="1"/>
      <w:marLeft w:val="0"/>
      <w:marRight w:val="0"/>
      <w:marTop w:val="0"/>
      <w:marBottom w:val="0"/>
      <w:divBdr>
        <w:top w:val="none" w:sz="0" w:space="0" w:color="auto"/>
        <w:left w:val="none" w:sz="0" w:space="0" w:color="auto"/>
        <w:bottom w:val="none" w:sz="0" w:space="0" w:color="auto"/>
        <w:right w:val="none" w:sz="0" w:space="0" w:color="auto"/>
      </w:divBdr>
    </w:div>
    <w:div w:id="1342583856">
      <w:bodyDiv w:val="1"/>
      <w:marLeft w:val="0"/>
      <w:marRight w:val="0"/>
      <w:marTop w:val="0"/>
      <w:marBottom w:val="0"/>
      <w:divBdr>
        <w:top w:val="none" w:sz="0" w:space="0" w:color="auto"/>
        <w:left w:val="none" w:sz="0" w:space="0" w:color="auto"/>
        <w:bottom w:val="none" w:sz="0" w:space="0" w:color="auto"/>
        <w:right w:val="none" w:sz="0" w:space="0" w:color="auto"/>
      </w:divBdr>
    </w:div>
    <w:div w:id="1349718736">
      <w:bodyDiv w:val="1"/>
      <w:marLeft w:val="0"/>
      <w:marRight w:val="0"/>
      <w:marTop w:val="0"/>
      <w:marBottom w:val="0"/>
      <w:divBdr>
        <w:top w:val="none" w:sz="0" w:space="0" w:color="auto"/>
        <w:left w:val="none" w:sz="0" w:space="0" w:color="auto"/>
        <w:bottom w:val="none" w:sz="0" w:space="0" w:color="auto"/>
        <w:right w:val="none" w:sz="0" w:space="0" w:color="auto"/>
      </w:divBdr>
    </w:div>
    <w:div w:id="1353453578">
      <w:bodyDiv w:val="1"/>
      <w:marLeft w:val="0"/>
      <w:marRight w:val="0"/>
      <w:marTop w:val="0"/>
      <w:marBottom w:val="0"/>
      <w:divBdr>
        <w:top w:val="none" w:sz="0" w:space="0" w:color="auto"/>
        <w:left w:val="none" w:sz="0" w:space="0" w:color="auto"/>
        <w:bottom w:val="none" w:sz="0" w:space="0" w:color="auto"/>
        <w:right w:val="none" w:sz="0" w:space="0" w:color="auto"/>
      </w:divBdr>
    </w:div>
    <w:div w:id="1359434278">
      <w:bodyDiv w:val="1"/>
      <w:marLeft w:val="0"/>
      <w:marRight w:val="0"/>
      <w:marTop w:val="0"/>
      <w:marBottom w:val="0"/>
      <w:divBdr>
        <w:top w:val="none" w:sz="0" w:space="0" w:color="auto"/>
        <w:left w:val="none" w:sz="0" w:space="0" w:color="auto"/>
        <w:bottom w:val="none" w:sz="0" w:space="0" w:color="auto"/>
        <w:right w:val="none" w:sz="0" w:space="0" w:color="auto"/>
      </w:divBdr>
    </w:div>
    <w:div w:id="1371537770">
      <w:bodyDiv w:val="1"/>
      <w:marLeft w:val="0"/>
      <w:marRight w:val="0"/>
      <w:marTop w:val="0"/>
      <w:marBottom w:val="0"/>
      <w:divBdr>
        <w:top w:val="none" w:sz="0" w:space="0" w:color="auto"/>
        <w:left w:val="none" w:sz="0" w:space="0" w:color="auto"/>
        <w:bottom w:val="none" w:sz="0" w:space="0" w:color="auto"/>
        <w:right w:val="none" w:sz="0" w:space="0" w:color="auto"/>
      </w:divBdr>
    </w:div>
    <w:div w:id="1388184302">
      <w:bodyDiv w:val="1"/>
      <w:marLeft w:val="0"/>
      <w:marRight w:val="0"/>
      <w:marTop w:val="0"/>
      <w:marBottom w:val="0"/>
      <w:divBdr>
        <w:top w:val="none" w:sz="0" w:space="0" w:color="auto"/>
        <w:left w:val="none" w:sz="0" w:space="0" w:color="auto"/>
        <w:bottom w:val="none" w:sz="0" w:space="0" w:color="auto"/>
        <w:right w:val="none" w:sz="0" w:space="0" w:color="auto"/>
      </w:divBdr>
    </w:div>
    <w:div w:id="1405682878">
      <w:bodyDiv w:val="1"/>
      <w:marLeft w:val="0"/>
      <w:marRight w:val="0"/>
      <w:marTop w:val="0"/>
      <w:marBottom w:val="0"/>
      <w:divBdr>
        <w:top w:val="none" w:sz="0" w:space="0" w:color="auto"/>
        <w:left w:val="none" w:sz="0" w:space="0" w:color="auto"/>
        <w:bottom w:val="none" w:sz="0" w:space="0" w:color="auto"/>
        <w:right w:val="none" w:sz="0" w:space="0" w:color="auto"/>
      </w:divBdr>
    </w:div>
    <w:div w:id="1453790630">
      <w:bodyDiv w:val="1"/>
      <w:marLeft w:val="0"/>
      <w:marRight w:val="0"/>
      <w:marTop w:val="0"/>
      <w:marBottom w:val="0"/>
      <w:divBdr>
        <w:top w:val="none" w:sz="0" w:space="0" w:color="auto"/>
        <w:left w:val="none" w:sz="0" w:space="0" w:color="auto"/>
        <w:bottom w:val="none" w:sz="0" w:space="0" w:color="auto"/>
        <w:right w:val="none" w:sz="0" w:space="0" w:color="auto"/>
      </w:divBdr>
    </w:div>
    <w:div w:id="1466511522">
      <w:bodyDiv w:val="1"/>
      <w:marLeft w:val="0"/>
      <w:marRight w:val="0"/>
      <w:marTop w:val="0"/>
      <w:marBottom w:val="0"/>
      <w:divBdr>
        <w:top w:val="none" w:sz="0" w:space="0" w:color="auto"/>
        <w:left w:val="none" w:sz="0" w:space="0" w:color="auto"/>
        <w:bottom w:val="none" w:sz="0" w:space="0" w:color="auto"/>
        <w:right w:val="none" w:sz="0" w:space="0" w:color="auto"/>
      </w:divBdr>
    </w:div>
    <w:div w:id="1520586119">
      <w:bodyDiv w:val="1"/>
      <w:marLeft w:val="0"/>
      <w:marRight w:val="0"/>
      <w:marTop w:val="0"/>
      <w:marBottom w:val="0"/>
      <w:divBdr>
        <w:top w:val="none" w:sz="0" w:space="0" w:color="auto"/>
        <w:left w:val="none" w:sz="0" w:space="0" w:color="auto"/>
        <w:bottom w:val="none" w:sz="0" w:space="0" w:color="auto"/>
        <w:right w:val="none" w:sz="0" w:space="0" w:color="auto"/>
      </w:divBdr>
    </w:div>
    <w:div w:id="1548181142">
      <w:bodyDiv w:val="1"/>
      <w:marLeft w:val="0"/>
      <w:marRight w:val="0"/>
      <w:marTop w:val="0"/>
      <w:marBottom w:val="0"/>
      <w:divBdr>
        <w:top w:val="none" w:sz="0" w:space="0" w:color="auto"/>
        <w:left w:val="none" w:sz="0" w:space="0" w:color="auto"/>
        <w:bottom w:val="none" w:sz="0" w:space="0" w:color="auto"/>
        <w:right w:val="none" w:sz="0" w:space="0" w:color="auto"/>
      </w:divBdr>
    </w:div>
    <w:div w:id="1557467206">
      <w:bodyDiv w:val="1"/>
      <w:marLeft w:val="0"/>
      <w:marRight w:val="0"/>
      <w:marTop w:val="0"/>
      <w:marBottom w:val="0"/>
      <w:divBdr>
        <w:top w:val="none" w:sz="0" w:space="0" w:color="auto"/>
        <w:left w:val="none" w:sz="0" w:space="0" w:color="auto"/>
        <w:bottom w:val="none" w:sz="0" w:space="0" w:color="auto"/>
        <w:right w:val="none" w:sz="0" w:space="0" w:color="auto"/>
      </w:divBdr>
    </w:div>
    <w:div w:id="1622686746">
      <w:bodyDiv w:val="1"/>
      <w:marLeft w:val="0"/>
      <w:marRight w:val="0"/>
      <w:marTop w:val="0"/>
      <w:marBottom w:val="0"/>
      <w:divBdr>
        <w:top w:val="none" w:sz="0" w:space="0" w:color="auto"/>
        <w:left w:val="none" w:sz="0" w:space="0" w:color="auto"/>
        <w:bottom w:val="none" w:sz="0" w:space="0" w:color="auto"/>
        <w:right w:val="none" w:sz="0" w:space="0" w:color="auto"/>
      </w:divBdr>
    </w:div>
    <w:div w:id="1716925106">
      <w:bodyDiv w:val="1"/>
      <w:marLeft w:val="0"/>
      <w:marRight w:val="0"/>
      <w:marTop w:val="0"/>
      <w:marBottom w:val="0"/>
      <w:divBdr>
        <w:top w:val="none" w:sz="0" w:space="0" w:color="auto"/>
        <w:left w:val="none" w:sz="0" w:space="0" w:color="auto"/>
        <w:bottom w:val="none" w:sz="0" w:space="0" w:color="auto"/>
        <w:right w:val="none" w:sz="0" w:space="0" w:color="auto"/>
      </w:divBdr>
    </w:div>
    <w:div w:id="1740321935">
      <w:bodyDiv w:val="1"/>
      <w:marLeft w:val="0"/>
      <w:marRight w:val="0"/>
      <w:marTop w:val="0"/>
      <w:marBottom w:val="0"/>
      <w:divBdr>
        <w:top w:val="none" w:sz="0" w:space="0" w:color="auto"/>
        <w:left w:val="none" w:sz="0" w:space="0" w:color="auto"/>
        <w:bottom w:val="none" w:sz="0" w:space="0" w:color="auto"/>
        <w:right w:val="none" w:sz="0" w:space="0" w:color="auto"/>
      </w:divBdr>
    </w:div>
    <w:div w:id="1778603223">
      <w:bodyDiv w:val="1"/>
      <w:marLeft w:val="0"/>
      <w:marRight w:val="0"/>
      <w:marTop w:val="0"/>
      <w:marBottom w:val="0"/>
      <w:divBdr>
        <w:top w:val="none" w:sz="0" w:space="0" w:color="auto"/>
        <w:left w:val="none" w:sz="0" w:space="0" w:color="auto"/>
        <w:bottom w:val="none" w:sz="0" w:space="0" w:color="auto"/>
        <w:right w:val="none" w:sz="0" w:space="0" w:color="auto"/>
      </w:divBdr>
    </w:div>
    <w:div w:id="1802109246">
      <w:bodyDiv w:val="1"/>
      <w:marLeft w:val="0"/>
      <w:marRight w:val="0"/>
      <w:marTop w:val="0"/>
      <w:marBottom w:val="0"/>
      <w:divBdr>
        <w:top w:val="none" w:sz="0" w:space="0" w:color="auto"/>
        <w:left w:val="none" w:sz="0" w:space="0" w:color="auto"/>
        <w:bottom w:val="none" w:sz="0" w:space="0" w:color="auto"/>
        <w:right w:val="none" w:sz="0" w:space="0" w:color="auto"/>
      </w:divBdr>
    </w:div>
    <w:div w:id="1823696362">
      <w:bodyDiv w:val="1"/>
      <w:marLeft w:val="0"/>
      <w:marRight w:val="0"/>
      <w:marTop w:val="0"/>
      <w:marBottom w:val="0"/>
      <w:divBdr>
        <w:top w:val="none" w:sz="0" w:space="0" w:color="auto"/>
        <w:left w:val="none" w:sz="0" w:space="0" w:color="auto"/>
        <w:bottom w:val="none" w:sz="0" w:space="0" w:color="auto"/>
        <w:right w:val="none" w:sz="0" w:space="0" w:color="auto"/>
      </w:divBdr>
    </w:div>
    <w:div w:id="1867937284">
      <w:bodyDiv w:val="1"/>
      <w:marLeft w:val="0"/>
      <w:marRight w:val="0"/>
      <w:marTop w:val="0"/>
      <w:marBottom w:val="0"/>
      <w:divBdr>
        <w:top w:val="none" w:sz="0" w:space="0" w:color="auto"/>
        <w:left w:val="none" w:sz="0" w:space="0" w:color="auto"/>
        <w:bottom w:val="none" w:sz="0" w:space="0" w:color="auto"/>
        <w:right w:val="none" w:sz="0" w:space="0" w:color="auto"/>
      </w:divBdr>
    </w:div>
    <w:div w:id="1868643933">
      <w:bodyDiv w:val="1"/>
      <w:marLeft w:val="0"/>
      <w:marRight w:val="0"/>
      <w:marTop w:val="0"/>
      <w:marBottom w:val="0"/>
      <w:divBdr>
        <w:top w:val="none" w:sz="0" w:space="0" w:color="auto"/>
        <w:left w:val="none" w:sz="0" w:space="0" w:color="auto"/>
        <w:bottom w:val="none" w:sz="0" w:space="0" w:color="auto"/>
        <w:right w:val="none" w:sz="0" w:space="0" w:color="auto"/>
      </w:divBdr>
    </w:div>
    <w:div w:id="1903637676">
      <w:bodyDiv w:val="1"/>
      <w:marLeft w:val="0"/>
      <w:marRight w:val="0"/>
      <w:marTop w:val="0"/>
      <w:marBottom w:val="0"/>
      <w:divBdr>
        <w:top w:val="none" w:sz="0" w:space="0" w:color="auto"/>
        <w:left w:val="none" w:sz="0" w:space="0" w:color="auto"/>
        <w:bottom w:val="none" w:sz="0" w:space="0" w:color="auto"/>
        <w:right w:val="none" w:sz="0" w:space="0" w:color="auto"/>
      </w:divBdr>
    </w:div>
    <w:div w:id="2018074921">
      <w:bodyDiv w:val="1"/>
      <w:marLeft w:val="0"/>
      <w:marRight w:val="0"/>
      <w:marTop w:val="0"/>
      <w:marBottom w:val="0"/>
      <w:divBdr>
        <w:top w:val="none" w:sz="0" w:space="0" w:color="auto"/>
        <w:left w:val="none" w:sz="0" w:space="0" w:color="auto"/>
        <w:bottom w:val="none" w:sz="0" w:space="0" w:color="auto"/>
        <w:right w:val="none" w:sz="0" w:space="0" w:color="auto"/>
      </w:divBdr>
    </w:div>
    <w:div w:id="20608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UNH14</b:Tag>
    <b:SourceType>Report</b:SourceType>
    <b:Guid>{4A675FCA-9AFE-4803-B7BC-5089CC5AC09F}</b:Guid>
    <b:Title>Global Trends 2013: War's Human Cost</b:Title>
    <b:Year>2014</b:Year>
    <b:City>Geneva</b:City>
    <b:Publisher>UNHCR</b:Publisher>
    <b:Author>
      <b:Author>
        <b:Corporate>UNHCR</b:Corporate>
      </b:Author>
    </b:Author>
    <b:RefOrder>1</b:RefOrder>
  </b:Source>
  <b:Source>
    <b:Tag>UNH141</b:Tag>
    <b:SourceType>InternetSite</b:SourceType>
    <b:Guid>{51A9D3F2-1A6C-4CC3-AAE9-F938590D0FF7}</b:Guid>
    <b:Title>Internally Displaced People Figures</b:Title>
    <b:Year>2014</b:Year>
    <b:Author>
      <b:Author>
        <b:Corporate>UNHCR</b:Corporate>
      </b:Author>
    </b:Author>
    <b:YearAccessed>2014</b:YearAccessed>
    <b:MonthAccessed>September</b:MonthAccessed>
    <b:DayAccessed>20</b:DayAccessed>
    <b:URL>http://www.unhcr.org/pages/49c3646c23.html</b:URL>
    <b:RefOrder>2</b:RefOrder>
  </b:Source>
</b:Sources>
</file>

<file path=customXml/itemProps1.xml><?xml version="1.0" encoding="utf-8"?>
<ds:datastoreItem xmlns:ds="http://schemas.openxmlformats.org/officeDocument/2006/customXml" ds:itemID="{E74B97A9-3C89-4123-ADCD-845C70B7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37</Pages>
  <Words>8551</Words>
  <Characters>48745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57182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Loschmann</dc:creator>
  <cp:lastModifiedBy>Craig Loschmann</cp:lastModifiedBy>
  <cp:revision>10</cp:revision>
  <dcterms:created xsi:type="dcterms:W3CDTF">2014-10-15T11:26:00Z</dcterms:created>
  <dcterms:modified xsi:type="dcterms:W3CDTF">2014-10-27T07:01:00Z</dcterms:modified>
</cp:coreProperties>
</file>